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DE" w:rsidRPr="00D15120" w:rsidRDefault="002D14DE" w:rsidP="002D14DE">
      <w:pPr>
        <w:jc w:val="center"/>
        <w:rPr>
          <w:b/>
          <w:sz w:val="32"/>
          <w:lang w:val="en-US"/>
        </w:rPr>
      </w:pPr>
      <w:bookmarkStart w:id="0" w:name="_GoBack"/>
      <w:r w:rsidRPr="00D15120">
        <w:rPr>
          <w:b/>
          <w:sz w:val="32"/>
          <w:lang w:val="en-US"/>
        </w:rPr>
        <w:t>Visiting Scholar Program 2019</w:t>
      </w:r>
    </w:p>
    <w:bookmarkEnd w:id="0"/>
    <w:p w:rsidR="002D14DE" w:rsidRPr="00D15120" w:rsidRDefault="002D14DE" w:rsidP="002D14DE">
      <w:pPr>
        <w:jc w:val="center"/>
        <w:rPr>
          <w:sz w:val="32"/>
          <w:lang w:val="en-US"/>
        </w:rPr>
      </w:pPr>
      <w:r w:rsidRPr="00D15120">
        <w:rPr>
          <w:sz w:val="32"/>
          <w:lang w:val="en-US"/>
        </w:rPr>
        <w:t>Faculty of Management</w:t>
      </w:r>
    </w:p>
    <w:p w:rsidR="002D14DE" w:rsidRPr="002D14DE" w:rsidRDefault="002D14DE" w:rsidP="002D14DE">
      <w:pPr>
        <w:jc w:val="center"/>
        <w:rPr>
          <w:sz w:val="32"/>
          <w:lang w:val="en-US"/>
        </w:rPr>
      </w:pPr>
      <w:r w:rsidRPr="002D14DE">
        <w:rPr>
          <w:sz w:val="32"/>
          <w:lang w:val="en-US"/>
        </w:rPr>
        <w:t>University of Warsaw</w:t>
      </w:r>
    </w:p>
    <w:p w:rsidR="002D14DE" w:rsidRPr="002D14DE" w:rsidRDefault="002D14DE" w:rsidP="002D14DE">
      <w:pPr>
        <w:jc w:val="center"/>
        <w:rPr>
          <w:b/>
          <w:lang w:val="en-US"/>
        </w:rPr>
      </w:pPr>
      <w:r w:rsidRPr="002D14DE">
        <w:rPr>
          <w:b/>
          <w:lang w:val="en-US"/>
        </w:rPr>
        <w:t>Schedule for February – April 2019 seminars</w:t>
      </w:r>
    </w:p>
    <w:p w:rsidR="002D14DE" w:rsidRDefault="002D14DE" w:rsidP="002D14DE">
      <w:pPr>
        <w:jc w:val="center"/>
        <w:rPr>
          <w:lang w:val="en-US"/>
        </w:rPr>
      </w:pPr>
      <w:r w:rsidRPr="002D14DE">
        <w:rPr>
          <w:lang w:val="en-US"/>
        </w:rPr>
        <w:t>All seminars will be held in room B205 unless stated otherwise</w:t>
      </w:r>
    </w:p>
    <w:p w:rsidR="00BB6D31" w:rsidRPr="002D14DE" w:rsidRDefault="00BB6D31" w:rsidP="002D14DE">
      <w:pPr>
        <w:jc w:val="cente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086A60" w:rsidRPr="00326CE5" w:rsidTr="00532D0B">
        <w:trPr>
          <w:trHeight w:val="288"/>
        </w:trPr>
        <w:tc>
          <w:tcPr>
            <w:tcW w:w="9229" w:type="dxa"/>
            <w:gridSpan w:val="4"/>
            <w:shd w:val="clear" w:color="auto" w:fill="auto"/>
            <w:noWrap/>
            <w:vAlign w:val="bottom"/>
          </w:tcPr>
          <w:p w:rsidR="00086A60" w:rsidRPr="002D14DE" w:rsidRDefault="009F27E8" w:rsidP="00974C09">
            <w:pPr>
              <w:spacing w:after="0" w:line="240" w:lineRule="auto"/>
              <w:rPr>
                <w:rFonts w:ascii="Calibri" w:eastAsia="Times New Roman" w:hAnsi="Calibri" w:cs="Calibri"/>
                <w:b/>
                <w:bCs/>
                <w:color w:val="000000"/>
                <w:sz w:val="20"/>
                <w:szCs w:val="20"/>
                <w:lang w:val="en-US" w:eastAsia="pl-PL"/>
              </w:rPr>
            </w:pPr>
            <w:r w:rsidRPr="009F27E8">
              <w:rPr>
                <w:rFonts w:ascii="Calibri" w:eastAsia="Times New Roman" w:hAnsi="Calibri" w:cs="Calibri"/>
                <w:b/>
                <w:bCs/>
                <w:color w:val="000000"/>
                <w:sz w:val="20"/>
                <w:szCs w:val="20"/>
                <w:lang w:val="en-US" w:eastAsia="pl-PL"/>
              </w:rPr>
              <w:t>Cruising past the scrutiny. Toward a general theory of social exchanges in issue settlements</w:t>
            </w:r>
            <w:r w:rsidR="009C756D">
              <w:rPr>
                <w:rFonts w:ascii="Calibri" w:eastAsia="Times New Roman" w:hAnsi="Calibri" w:cs="Calibri"/>
                <w:b/>
                <w:bCs/>
                <w:color w:val="000000"/>
                <w:sz w:val="20"/>
                <w:szCs w:val="20"/>
                <w:lang w:val="en-US" w:eastAsia="pl-PL"/>
              </w:rPr>
              <w:t xml:space="preserve"> (Aula B)</w:t>
            </w:r>
          </w:p>
        </w:tc>
      </w:tr>
      <w:tr w:rsidR="00086A60" w:rsidRPr="00086A60" w:rsidTr="00532D0B">
        <w:trPr>
          <w:trHeight w:val="288"/>
        </w:trPr>
        <w:tc>
          <w:tcPr>
            <w:tcW w:w="3080" w:type="dxa"/>
            <w:shd w:val="clear" w:color="auto" w:fill="auto"/>
            <w:noWrap/>
            <w:vAlign w:val="bottom"/>
            <w:hideMark/>
          </w:tcPr>
          <w:p w:rsidR="002D14DE" w:rsidRDefault="00086A60" w:rsidP="002D14DE">
            <w:pPr>
              <w:spacing w:after="0" w:line="240" w:lineRule="auto"/>
              <w:rPr>
                <w:rFonts w:ascii="Calibri" w:eastAsia="Times New Roman" w:hAnsi="Calibri" w:cs="Calibri"/>
                <w:bCs/>
                <w:color w:val="000000"/>
                <w:sz w:val="20"/>
                <w:szCs w:val="20"/>
                <w:lang w:eastAsia="pl-PL"/>
              </w:rPr>
            </w:pPr>
            <w:r w:rsidRPr="00086A60">
              <w:rPr>
                <w:rFonts w:ascii="Calibri" w:eastAsia="Times New Roman" w:hAnsi="Calibri" w:cs="Calibri"/>
                <w:bCs/>
                <w:color w:val="000000"/>
                <w:sz w:val="20"/>
                <w:szCs w:val="20"/>
                <w:lang w:eastAsia="pl-PL"/>
              </w:rPr>
              <w:t xml:space="preserve">Claudio </w:t>
            </w:r>
            <w:proofErr w:type="spellStart"/>
            <w:r w:rsidRPr="00086A60">
              <w:rPr>
                <w:rFonts w:ascii="Calibri" w:eastAsia="Times New Roman" w:hAnsi="Calibri" w:cs="Calibri"/>
                <w:bCs/>
                <w:color w:val="000000"/>
                <w:sz w:val="20"/>
                <w:szCs w:val="20"/>
                <w:lang w:eastAsia="pl-PL"/>
              </w:rPr>
              <w:t>Biscaro</w:t>
            </w:r>
            <w:proofErr w:type="spellEnd"/>
          </w:p>
          <w:p w:rsidR="00086A60" w:rsidRPr="00086A60" w:rsidRDefault="00086A60" w:rsidP="002D14DE">
            <w:pPr>
              <w:spacing w:after="0" w:line="240" w:lineRule="auto"/>
              <w:rPr>
                <w:rFonts w:ascii="Calibri" w:eastAsia="Times New Roman" w:hAnsi="Calibri" w:cs="Calibri"/>
                <w:bCs/>
                <w:color w:val="000000"/>
                <w:sz w:val="20"/>
                <w:szCs w:val="20"/>
                <w:lang w:eastAsia="pl-PL"/>
              </w:rPr>
            </w:pPr>
            <w:r w:rsidRPr="00086A60">
              <w:rPr>
                <w:rFonts w:ascii="Calibri" w:eastAsia="Times New Roman" w:hAnsi="Calibri" w:cs="Calibri"/>
                <w:bCs/>
                <w:color w:val="000000"/>
                <w:sz w:val="20"/>
                <w:szCs w:val="20"/>
                <w:lang w:eastAsia="pl-PL"/>
              </w:rPr>
              <w:t xml:space="preserve">(WU </w:t>
            </w:r>
            <w:proofErr w:type="spellStart"/>
            <w:r w:rsidRPr="00086A60">
              <w:rPr>
                <w:rFonts w:ascii="Calibri" w:eastAsia="Times New Roman" w:hAnsi="Calibri" w:cs="Calibri"/>
                <w:bCs/>
                <w:color w:val="000000"/>
                <w:sz w:val="20"/>
                <w:szCs w:val="20"/>
                <w:lang w:eastAsia="pl-PL"/>
              </w:rPr>
              <w:t>Vienna</w:t>
            </w:r>
            <w:proofErr w:type="spellEnd"/>
            <w:r w:rsidRPr="00086A60">
              <w:rPr>
                <w:rFonts w:ascii="Calibri" w:eastAsia="Times New Roman" w:hAnsi="Calibri" w:cs="Calibri"/>
                <w:bCs/>
                <w:color w:val="000000"/>
                <w:sz w:val="20"/>
                <w:szCs w:val="20"/>
                <w:lang w:eastAsia="pl-PL"/>
              </w:rPr>
              <w:t>)</w:t>
            </w:r>
          </w:p>
        </w:tc>
        <w:tc>
          <w:tcPr>
            <w:tcW w:w="1900" w:type="dxa"/>
            <w:shd w:val="clear" w:color="auto" w:fill="auto"/>
            <w:noWrap/>
            <w:vAlign w:val="bottom"/>
            <w:hideMark/>
          </w:tcPr>
          <w:p w:rsidR="00086A60" w:rsidRPr="00086A60" w:rsidRDefault="00086A60" w:rsidP="002D14DE">
            <w:pPr>
              <w:spacing w:after="0" w:line="240" w:lineRule="auto"/>
              <w:rPr>
                <w:rFonts w:ascii="Calibri" w:eastAsia="Times New Roman" w:hAnsi="Calibri" w:cs="Calibri"/>
                <w:bCs/>
                <w:color w:val="000000"/>
                <w:sz w:val="20"/>
                <w:szCs w:val="20"/>
                <w:lang w:eastAsia="pl-PL"/>
              </w:rPr>
            </w:pPr>
            <w:r w:rsidRPr="00086A60">
              <w:rPr>
                <w:rFonts w:ascii="Calibri" w:eastAsia="Times New Roman" w:hAnsi="Calibri" w:cs="Calibri"/>
                <w:bCs/>
                <w:color w:val="000000"/>
                <w:sz w:val="20"/>
                <w:szCs w:val="20"/>
                <w:lang w:eastAsia="pl-PL"/>
              </w:rPr>
              <w:t>25.02.2019</w:t>
            </w:r>
          </w:p>
        </w:tc>
        <w:tc>
          <w:tcPr>
            <w:tcW w:w="1720" w:type="dxa"/>
            <w:shd w:val="clear" w:color="auto" w:fill="auto"/>
            <w:noWrap/>
            <w:vAlign w:val="bottom"/>
            <w:hideMark/>
          </w:tcPr>
          <w:p w:rsidR="00086A60" w:rsidRPr="00086A60" w:rsidRDefault="00086A60" w:rsidP="009F3EDC">
            <w:pPr>
              <w:spacing w:after="0" w:line="240" w:lineRule="auto"/>
              <w:rPr>
                <w:rFonts w:ascii="Calibri" w:eastAsia="Times New Roman" w:hAnsi="Calibri" w:cs="Calibri"/>
                <w:bCs/>
                <w:color w:val="000000"/>
                <w:sz w:val="20"/>
                <w:szCs w:val="20"/>
                <w:lang w:eastAsia="pl-PL"/>
              </w:rPr>
            </w:pPr>
            <w:r w:rsidRPr="00086A60">
              <w:rPr>
                <w:rFonts w:ascii="Calibri" w:eastAsia="Times New Roman" w:hAnsi="Calibri" w:cs="Calibri"/>
                <w:bCs/>
                <w:color w:val="000000"/>
                <w:sz w:val="20"/>
                <w:szCs w:val="20"/>
                <w:lang w:eastAsia="pl-PL"/>
              </w:rPr>
              <w:t>12:</w:t>
            </w:r>
            <w:r w:rsidR="009F3EDC">
              <w:rPr>
                <w:rFonts w:ascii="Calibri" w:eastAsia="Times New Roman" w:hAnsi="Calibri" w:cs="Calibri"/>
                <w:bCs/>
                <w:color w:val="000000"/>
                <w:sz w:val="20"/>
                <w:szCs w:val="20"/>
                <w:lang w:eastAsia="pl-PL"/>
              </w:rPr>
              <w:t>3</w:t>
            </w:r>
            <w:r w:rsidRPr="00086A60">
              <w:rPr>
                <w:rFonts w:ascii="Calibri" w:eastAsia="Times New Roman" w:hAnsi="Calibri" w:cs="Calibri"/>
                <w:bCs/>
                <w:color w:val="000000"/>
                <w:sz w:val="20"/>
                <w:szCs w:val="20"/>
                <w:lang w:eastAsia="pl-PL"/>
              </w:rPr>
              <w:t>0-14:00</w:t>
            </w:r>
          </w:p>
        </w:tc>
        <w:tc>
          <w:tcPr>
            <w:tcW w:w="2529" w:type="dxa"/>
            <w:shd w:val="clear" w:color="auto" w:fill="auto"/>
            <w:noWrap/>
            <w:vAlign w:val="bottom"/>
            <w:hideMark/>
          </w:tcPr>
          <w:p w:rsidR="00086A60" w:rsidRPr="00086A60" w:rsidRDefault="00532D0B" w:rsidP="002D14DE">
            <w:pPr>
              <w:spacing w:after="0" w:line="240" w:lineRule="auto"/>
              <w:rPr>
                <w:rFonts w:ascii="Calibri" w:eastAsia="Times New Roman" w:hAnsi="Calibri" w:cs="Calibri"/>
                <w:bCs/>
                <w:color w:val="000000"/>
                <w:sz w:val="20"/>
                <w:szCs w:val="20"/>
                <w:lang w:eastAsia="pl-PL"/>
              </w:rPr>
            </w:pPr>
            <w:proofErr w:type="spellStart"/>
            <w:r>
              <w:rPr>
                <w:rFonts w:ascii="Calibri" w:eastAsia="Times New Roman" w:hAnsi="Calibri" w:cs="Calibri"/>
                <w:bCs/>
                <w:color w:val="000000"/>
                <w:sz w:val="20"/>
                <w:szCs w:val="20"/>
                <w:lang w:eastAsia="pl-PL"/>
              </w:rPr>
              <w:t>Monday</w:t>
            </w:r>
            <w:proofErr w:type="spellEnd"/>
          </w:p>
        </w:tc>
      </w:tr>
      <w:tr w:rsidR="00086A60" w:rsidRPr="00086A60" w:rsidTr="00532D0B">
        <w:trPr>
          <w:trHeight w:val="288"/>
        </w:trPr>
        <w:tc>
          <w:tcPr>
            <w:tcW w:w="9229" w:type="dxa"/>
            <w:gridSpan w:val="4"/>
            <w:shd w:val="clear" w:color="auto" w:fill="auto"/>
            <w:noWrap/>
            <w:vAlign w:val="bottom"/>
          </w:tcPr>
          <w:p w:rsidR="00086A60" w:rsidRPr="002C2A37" w:rsidRDefault="002C2A37" w:rsidP="002D14DE">
            <w:pPr>
              <w:spacing w:after="0" w:line="240" w:lineRule="auto"/>
              <w:jc w:val="both"/>
              <w:rPr>
                <w:rFonts w:eastAsia="Times New Roman" w:cstheme="minorHAnsi"/>
                <w:bCs/>
                <w:color w:val="000000"/>
                <w:sz w:val="20"/>
                <w:szCs w:val="20"/>
                <w:lang w:eastAsia="pl-PL"/>
              </w:rPr>
            </w:pPr>
            <w:r w:rsidRPr="002C2A37">
              <w:rPr>
                <w:rFonts w:cstheme="minorHAnsi"/>
                <w:sz w:val="20"/>
                <w:szCs w:val="20"/>
                <w:lang w:val="en-US"/>
              </w:rPr>
              <w:t>This study examines the heated debate surrounding the cruise ships, ‘</w:t>
            </w:r>
            <w:proofErr w:type="spellStart"/>
            <w:r w:rsidRPr="002C2A37">
              <w:rPr>
                <w:rFonts w:cstheme="minorHAnsi"/>
                <w:sz w:val="20"/>
                <w:szCs w:val="20"/>
                <w:lang w:val="en-US"/>
              </w:rPr>
              <w:t>grandi</w:t>
            </w:r>
            <w:proofErr w:type="spellEnd"/>
            <w:r w:rsidRPr="002C2A37">
              <w:rPr>
                <w:rFonts w:cstheme="minorHAnsi"/>
                <w:sz w:val="20"/>
                <w:szCs w:val="20"/>
                <w:lang w:val="en-US"/>
              </w:rPr>
              <w:t xml:space="preserve"> </w:t>
            </w:r>
            <w:proofErr w:type="spellStart"/>
            <w:r w:rsidRPr="002C2A37">
              <w:rPr>
                <w:rFonts w:cstheme="minorHAnsi"/>
                <w:sz w:val="20"/>
                <w:szCs w:val="20"/>
                <w:lang w:val="en-US"/>
              </w:rPr>
              <w:t>navi</w:t>
            </w:r>
            <w:proofErr w:type="spellEnd"/>
            <w:r w:rsidRPr="002C2A37">
              <w:rPr>
                <w:rFonts w:cstheme="minorHAnsi"/>
                <w:sz w:val="20"/>
                <w:szCs w:val="20"/>
                <w:lang w:val="en-US"/>
              </w:rPr>
              <w:t>,’ in Venice, Italy. Drawing upon multiple data sources, we trace how the social exchanges among different field actors are able to neutralize the threat to the status quo and alter the natural course of the issue settlement that actors’ public framing would predict. Specifically, we show how the cruise industry indirectly targets regulators with the provision of resources and these actions decouple regulators’ public framing from their private decision to settle a contested issue. This work contributes to the literature on issue fields and issue settlements by providing a general theory of issue settlements that includes social exchanges. We advance propositions on the conditions in which social exchanges are likely to occur and on identify potential targets for exchanges from their statements in the public discourse.</w:t>
            </w:r>
            <w:r w:rsidRPr="002C2A37">
              <w:rPr>
                <w:rFonts w:eastAsia="Times New Roman" w:cstheme="minorHAnsi"/>
                <w:bCs/>
                <w:color w:val="000000"/>
                <w:sz w:val="20"/>
                <w:szCs w:val="20"/>
                <w:lang w:val="en-US" w:eastAsia="pl-PL"/>
              </w:rPr>
              <w:t xml:space="preserve"> </w:t>
            </w:r>
            <w:r w:rsidR="00086A60" w:rsidRPr="002C2A37">
              <w:rPr>
                <w:rFonts w:eastAsia="Times New Roman" w:cstheme="minorHAnsi"/>
                <w:bCs/>
                <w:color w:val="000000"/>
                <w:sz w:val="20"/>
                <w:szCs w:val="20"/>
                <w:lang w:eastAsia="pl-PL"/>
              </w:rPr>
              <w:t>(co-</w:t>
            </w:r>
            <w:proofErr w:type="spellStart"/>
            <w:r w:rsidR="00086A60" w:rsidRPr="002C2A37">
              <w:rPr>
                <w:rFonts w:eastAsia="Times New Roman" w:cstheme="minorHAnsi"/>
                <w:bCs/>
                <w:color w:val="000000"/>
                <w:sz w:val="20"/>
                <w:szCs w:val="20"/>
                <w:lang w:eastAsia="pl-PL"/>
              </w:rPr>
              <w:t>authors</w:t>
            </w:r>
            <w:proofErr w:type="spellEnd"/>
            <w:r w:rsidR="00086A60" w:rsidRPr="002C2A37">
              <w:rPr>
                <w:rFonts w:eastAsia="Times New Roman" w:cstheme="minorHAnsi"/>
                <w:bCs/>
                <w:color w:val="000000"/>
                <w:sz w:val="20"/>
                <w:szCs w:val="20"/>
                <w:lang w:eastAsia="pl-PL"/>
              </w:rPr>
              <w:t xml:space="preserve">: Giuseppe </w:t>
            </w:r>
            <w:proofErr w:type="spellStart"/>
            <w:r w:rsidR="00086A60" w:rsidRPr="002C2A37">
              <w:rPr>
                <w:rFonts w:eastAsia="Times New Roman" w:cstheme="minorHAnsi"/>
                <w:bCs/>
                <w:color w:val="000000"/>
                <w:sz w:val="20"/>
                <w:szCs w:val="20"/>
                <w:lang w:eastAsia="pl-PL"/>
              </w:rPr>
              <w:t>Delmestri</w:t>
            </w:r>
            <w:proofErr w:type="spellEnd"/>
            <w:r w:rsidR="00086A60" w:rsidRPr="002C2A37">
              <w:rPr>
                <w:rFonts w:eastAsia="Times New Roman" w:cstheme="minorHAnsi"/>
                <w:bCs/>
                <w:color w:val="000000"/>
                <w:sz w:val="20"/>
                <w:szCs w:val="20"/>
                <w:lang w:eastAsia="pl-PL"/>
              </w:rPr>
              <w:t xml:space="preserve">, Mia </w:t>
            </w:r>
            <w:proofErr w:type="spellStart"/>
            <w:r w:rsidR="00086A60" w:rsidRPr="002C2A37">
              <w:rPr>
                <w:rFonts w:eastAsia="Times New Roman" w:cstheme="minorHAnsi"/>
                <w:bCs/>
                <w:color w:val="000000"/>
                <w:sz w:val="20"/>
                <w:szCs w:val="20"/>
                <w:lang w:eastAsia="pl-PL"/>
              </w:rPr>
              <w:t>Raynard</w:t>
            </w:r>
            <w:proofErr w:type="spellEnd"/>
            <w:r w:rsidR="00086A60" w:rsidRPr="002C2A37">
              <w:rPr>
                <w:rFonts w:eastAsia="Times New Roman" w:cstheme="minorHAnsi"/>
                <w:bCs/>
                <w:color w:val="000000"/>
                <w:sz w:val="20"/>
                <w:szCs w:val="20"/>
                <w:lang w:eastAsia="pl-PL"/>
              </w:rPr>
              <w:t>)</w:t>
            </w:r>
          </w:p>
        </w:tc>
      </w:tr>
      <w:tr w:rsidR="009F27E8" w:rsidRPr="00086A60" w:rsidTr="00532D0B">
        <w:trPr>
          <w:trHeight w:val="288"/>
        </w:trPr>
        <w:tc>
          <w:tcPr>
            <w:tcW w:w="9229" w:type="dxa"/>
            <w:gridSpan w:val="4"/>
            <w:shd w:val="clear" w:color="auto" w:fill="auto"/>
            <w:noWrap/>
            <w:vAlign w:val="bottom"/>
          </w:tcPr>
          <w:p w:rsidR="009F27E8" w:rsidRPr="009F27E8" w:rsidRDefault="009F27E8" w:rsidP="009F27E8">
            <w:pPr>
              <w:spacing w:after="0"/>
              <w:rPr>
                <w:noProof/>
                <w:lang w:val="en-US"/>
              </w:rPr>
            </w:pPr>
            <w:r w:rsidRPr="009F27E8">
              <w:rPr>
                <w:rFonts w:ascii="Calibri" w:eastAsia="Times New Roman" w:hAnsi="Calibri" w:cs="Calibri"/>
                <w:b/>
                <w:bCs/>
                <w:color w:val="000000"/>
                <w:sz w:val="20"/>
                <w:szCs w:val="20"/>
                <w:lang w:val="en-US" w:eastAsia="pl-PL"/>
              </w:rPr>
              <w:t>Recommended reading:</w:t>
            </w:r>
            <w:r>
              <w:rPr>
                <w:rFonts w:ascii="Calibri" w:eastAsia="Times New Roman" w:hAnsi="Calibri" w:cs="Calibri"/>
                <w:b/>
                <w:bCs/>
                <w:color w:val="000000"/>
                <w:sz w:val="20"/>
                <w:szCs w:val="20"/>
                <w:lang w:val="en-US" w:eastAsia="pl-PL"/>
              </w:rPr>
              <w:t xml:space="preserve"> </w:t>
            </w:r>
            <w:r w:rsidRPr="009F27E8">
              <w:rPr>
                <w:noProof/>
                <w:lang w:val="en-US"/>
              </w:rPr>
              <w:t>Furnari, S. 2018. When does an issue trigger change in a field? A compar</w:t>
            </w:r>
            <w:proofErr w:type="spellStart"/>
            <w:r w:rsidRPr="009F27E8">
              <w:rPr>
                <w:lang w:val="en-US"/>
              </w:rPr>
              <w:t>ative</w:t>
            </w:r>
            <w:proofErr w:type="spellEnd"/>
            <w:r w:rsidRPr="009F27E8">
              <w:rPr>
                <w:lang w:val="en-US"/>
              </w:rPr>
              <w:t xml:space="preserve"> approach to issue frames, </w:t>
            </w:r>
            <w:r w:rsidRPr="009F27E8">
              <w:rPr>
                <w:noProof/>
                <w:lang w:val="en-US"/>
              </w:rPr>
              <w:t xml:space="preserve">field structures and types of field change. </w:t>
            </w:r>
            <w:r w:rsidRPr="0049213E">
              <w:rPr>
                <w:i/>
                <w:noProof/>
                <w:lang w:val="en-US"/>
              </w:rPr>
              <w:t>Human Relations</w:t>
            </w:r>
            <w:r w:rsidRPr="009F27E8">
              <w:rPr>
                <w:noProof/>
                <w:lang w:val="en-US"/>
              </w:rPr>
              <w:t>, 71(3): 321-348.</w:t>
            </w:r>
          </w:p>
          <w:p w:rsidR="009F27E8" w:rsidRPr="009F27E8" w:rsidRDefault="009F27E8" w:rsidP="009F27E8">
            <w:pPr>
              <w:spacing w:after="0"/>
              <w:rPr>
                <w:lang w:val="en-US"/>
              </w:rPr>
            </w:pPr>
            <w:proofErr w:type="spellStart"/>
            <w:r>
              <w:rPr>
                <w:lang w:val="en-US"/>
              </w:rPr>
              <w:t>Granovetter</w:t>
            </w:r>
            <w:proofErr w:type="spellEnd"/>
            <w:r>
              <w:rPr>
                <w:lang w:val="en-US"/>
              </w:rPr>
              <w:t xml:space="preserve">, M. 2007. The social construction of corruption. In V. Nee &amp; R. </w:t>
            </w:r>
            <w:proofErr w:type="spellStart"/>
            <w:r>
              <w:rPr>
                <w:lang w:val="en-US"/>
              </w:rPr>
              <w:t>Swedberg</w:t>
            </w:r>
            <w:proofErr w:type="spellEnd"/>
            <w:r>
              <w:rPr>
                <w:lang w:val="en-US"/>
              </w:rPr>
              <w:t xml:space="preserve"> (Eds.), </w:t>
            </w:r>
            <w:r w:rsidRPr="0049213E">
              <w:rPr>
                <w:i/>
                <w:lang w:val="en-US"/>
              </w:rPr>
              <w:t>On Capitalism</w:t>
            </w:r>
            <w:r w:rsidRPr="0049213E">
              <w:rPr>
                <w:lang w:val="en-US"/>
              </w:rPr>
              <w:t>:</w:t>
            </w:r>
            <w:r>
              <w:rPr>
                <w:lang w:val="en-US"/>
              </w:rPr>
              <w:t xml:space="preserve"> 152-172. Stanford, CA: Stanford University Press.</w:t>
            </w:r>
          </w:p>
        </w:tc>
      </w:tr>
    </w:tbl>
    <w:p w:rsidR="00082E77" w:rsidRDefault="00082E77"/>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2D14DE" w:rsidRPr="00326CE5" w:rsidTr="00721BBC">
        <w:trPr>
          <w:trHeight w:val="288"/>
        </w:trPr>
        <w:tc>
          <w:tcPr>
            <w:tcW w:w="9229" w:type="dxa"/>
            <w:gridSpan w:val="4"/>
            <w:shd w:val="clear" w:color="auto" w:fill="auto"/>
            <w:noWrap/>
            <w:vAlign w:val="bottom"/>
          </w:tcPr>
          <w:p w:rsidR="002D14DE" w:rsidRPr="002D14DE" w:rsidRDefault="002D14DE" w:rsidP="00721BBC">
            <w:pPr>
              <w:spacing w:after="0" w:line="240" w:lineRule="auto"/>
              <w:rPr>
                <w:rFonts w:ascii="Calibri" w:eastAsia="Times New Roman" w:hAnsi="Calibri" w:cs="Calibri"/>
                <w:b/>
                <w:bCs/>
                <w:color w:val="000000"/>
                <w:sz w:val="20"/>
                <w:szCs w:val="20"/>
                <w:lang w:val="en-US" w:eastAsia="pl-PL"/>
              </w:rPr>
            </w:pPr>
            <w:r w:rsidRPr="002D14DE">
              <w:rPr>
                <w:rFonts w:ascii="Calibri" w:eastAsia="Times New Roman" w:hAnsi="Calibri" w:cs="Calibri"/>
                <w:b/>
                <w:bCs/>
                <w:color w:val="000000"/>
                <w:sz w:val="20"/>
                <w:szCs w:val="20"/>
                <w:lang w:val="en-US" w:eastAsia="pl-PL"/>
              </w:rPr>
              <w:t>The Epistemic Roots of Elitist Utopianism</w:t>
            </w:r>
            <w:r w:rsidR="00A81E54">
              <w:rPr>
                <w:rFonts w:ascii="Calibri" w:eastAsia="Times New Roman" w:hAnsi="Calibri" w:cs="Calibri"/>
                <w:b/>
                <w:bCs/>
                <w:color w:val="000000"/>
                <w:sz w:val="20"/>
                <w:szCs w:val="20"/>
                <w:lang w:val="en-US" w:eastAsia="pl-PL"/>
              </w:rPr>
              <w:t xml:space="preserve"> (room A221)</w:t>
            </w:r>
          </w:p>
        </w:tc>
      </w:tr>
      <w:tr w:rsidR="002D14DE" w:rsidRPr="00983919" w:rsidTr="00721BBC">
        <w:trPr>
          <w:trHeight w:val="288"/>
        </w:trPr>
        <w:tc>
          <w:tcPr>
            <w:tcW w:w="3080" w:type="dxa"/>
            <w:shd w:val="clear" w:color="auto" w:fill="auto"/>
            <w:noWrap/>
            <w:vAlign w:val="bottom"/>
            <w:hideMark/>
          </w:tcPr>
          <w:p w:rsidR="002D14DE" w:rsidRDefault="002D14DE" w:rsidP="00721BBC">
            <w:pPr>
              <w:spacing w:after="0" w:line="240" w:lineRule="auto"/>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Marc </w:t>
            </w:r>
            <w:proofErr w:type="spellStart"/>
            <w:r w:rsidRPr="00983919">
              <w:rPr>
                <w:rFonts w:ascii="Calibri" w:eastAsia="Times New Roman" w:hAnsi="Calibri" w:cs="Calibri"/>
                <w:bCs/>
                <w:color w:val="000000"/>
                <w:sz w:val="20"/>
                <w:szCs w:val="20"/>
                <w:lang w:val="en-US" w:eastAsia="pl-PL"/>
              </w:rPr>
              <w:t>Orlitzky</w:t>
            </w:r>
            <w:proofErr w:type="spellEnd"/>
          </w:p>
          <w:p w:rsidR="002D14DE" w:rsidRPr="00983919" w:rsidRDefault="002D14DE" w:rsidP="00721BBC">
            <w:pPr>
              <w:spacing w:after="0" w:line="240" w:lineRule="auto"/>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(University of South Australia)</w:t>
            </w:r>
          </w:p>
        </w:tc>
        <w:tc>
          <w:tcPr>
            <w:tcW w:w="1900" w:type="dxa"/>
            <w:shd w:val="clear" w:color="auto" w:fill="auto"/>
            <w:noWrap/>
            <w:vAlign w:val="bottom"/>
            <w:hideMark/>
          </w:tcPr>
          <w:p w:rsidR="002D14DE" w:rsidRPr="00983919" w:rsidRDefault="002D14DE" w:rsidP="00721BBC">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28.02.2019</w:t>
            </w:r>
          </w:p>
        </w:tc>
        <w:tc>
          <w:tcPr>
            <w:tcW w:w="1720" w:type="dxa"/>
            <w:shd w:val="clear" w:color="auto" w:fill="auto"/>
            <w:noWrap/>
            <w:vAlign w:val="bottom"/>
            <w:hideMark/>
          </w:tcPr>
          <w:p w:rsidR="002D14DE" w:rsidRPr="00983919" w:rsidRDefault="002D14DE" w:rsidP="00721BBC">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12:00-13:30</w:t>
            </w:r>
          </w:p>
        </w:tc>
        <w:tc>
          <w:tcPr>
            <w:tcW w:w="2529" w:type="dxa"/>
            <w:shd w:val="clear" w:color="auto" w:fill="auto"/>
            <w:noWrap/>
            <w:vAlign w:val="bottom"/>
            <w:hideMark/>
          </w:tcPr>
          <w:p w:rsidR="002D14DE" w:rsidRPr="00983919" w:rsidRDefault="002D14DE" w:rsidP="00721BBC">
            <w:pPr>
              <w:spacing w:after="0" w:line="240" w:lineRule="auto"/>
              <w:rPr>
                <w:rFonts w:ascii="Calibri" w:eastAsia="Times New Roman" w:hAnsi="Calibri" w:cs="Calibri"/>
                <w:bCs/>
                <w:color w:val="000000"/>
                <w:sz w:val="20"/>
                <w:szCs w:val="20"/>
                <w:lang w:eastAsia="pl-PL"/>
              </w:rPr>
            </w:pPr>
            <w:proofErr w:type="spellStart"/>
            <w:r w:rsidRPr="00532D0B">
              <w:rPr>
                <w:rFonts w:ascii="Calibri" w:eastAsia="Times New Roman" w:hAnsi="Calibri" w:cs="Calibri"/>
                <w:bCs/>
                <w:color w:val="000000"/>
                <w:sz w:val="20"/>
                <w:szCs w:val="20"/>
                <w:lang w:eastAsia="pl-PL"/>
              </w:rPr>
              <w:t>Thursday</w:t>
            </w:r>
            <w:proofErr w:type="spellEnd"/>
          </w:p>
        </w:tc>
      </w:tr>
      <w:tr w:rsidR="002D14DE" w:rsidRPr="00326CE5" w:rsidTr="00721BBC">
        <w:trPr>
          <w:trHeight w:val="288"/>
        </w:trPr>
        <w:tc>
          <w:tcPr>
            <w:tcW w:w="9229" w:type="dxa"/>
            <w:gridSpan w:val="4"/>
            <w:shd w:val="clear" w:color="auto" w:fill="auto"/>
            <w:noWrap/>
            <w:vAlign w:val="bottom"/>
          </w:tcPr>
          <w:p w:rsidR="002D14DE" w:rsidRPr="00983919" w:rsidRDefault="002D14DE" w:rsidP="00721BBC">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Many fields of inquiry in Management and Organization Theory run the risk of abandoning the description of scientific truth because they are becoming arenas of social activism.  Indeed, within the Academy of Management, the normative quest for social change—the creation of a better world—is booming.  However, the root causes of this remarkable utopian impulse—sometimes implicit, other times explicit—may not only lie in organizational, behavioral, and social scientists' sociopolitical values and proclivities.  Rather, the epistemic root cause is the Standard Social Science Model, in combination with the pragmatist renunciation of Hume's Guillotine, which sharply demarcates facts from values.  The resulting elitist utopianism is illustrated via three specific research areas in Human Resource Management, Organizational Behavior, and Corporate Social Responsibility, even though it has much wider applicability within many other Management fields of inquiry.  Finally, the conclusion of this seminar proposes several solutions that address this fundamental epistemological and sociopolitical problem.</w:t>
            </w:r>
          </w:p>
        </w:tc>
      </w:tr>
      <w:tr w:rsidR="004B0C4A" w:rsidRPr="00D432BD" w:rsidTr="00721BBC">
        <w:trPr>
          <w:trHeight w:val="288"/>
        </w:trPr>
        <w:tc>
          <w:tcPr>
            <w:tcW w:w="9229" w:type="dxa"/>
            <w:gridSpan w:val="4"/>
            <w:shd w:val="clear" w:color="auto" w:fill="auto"/>
            <w:noWrap/>
            <w:vAlign w:val="bottom"/>
          </w:tcPr>
          <w:p w:rsidR="004B0C4A" w:rsidRPr="00983919" w:rsidRDefault="004B0C4A" w:rsidP="00721BBC">
            <w:pPr>
              <w:spacing w:after="0" w:line="240" w:lineRule="auto"/>
              <w:jc w:val="both"/>
              <w:rPr>
                <w:rFonts w:ascii="Calibri" w:eastAsia="Times New Roman" w:hAnsi="Calibri" w:cs="Calibri"/>
                <w:bCs/>
                <w:color w:val="000000"/>
                <w:sz w:val="20"/>
                <w:szCs w:val="20"/>
                <w:lang w:val="en-US" w:eastAsia="pl-PL"/>
              </w:rPr>
            </w:pPr>
            <w:r w:rsidRPr="009F27E8">
              <w:rPr>
                <w:rFonts w:ascii="Calibri" w:eastAsia="Times New Roman" w:hAnsi="Calibri" w:cs="Calibri"/>
                <w:b/>
                <w:bCs/>
                <w:color w:val="000000"/>
                <w:sz w:val="20"/>
                <w:szCs w:val="20"/>
                <w:lang w:val="en-US" w:eastAsia="pl-PL"/>
              </w:rPr>
              <w:t>Recommended reading:</w:t>
            </w:r>
            <w:r w:rsidRPr="004B0C4A">
              <w:rPr>
                <w:rFonts w:ascii="Calibri" w:eastAsia="Times New Roman" w:hAnsi="Calibri" w:cs="Calibri"/>
                <w:bCs/>
                <w:color w:val="000000"/>
                <w:sz w:val="20"/>
                <w:szCs w:val="20"/>
                <w:lang w:val="en-US" w:eastAsia="pl-PL"/>
              </w:rPr>
              <w:t xml:space="preserve"> </w:t>
            </w:r>
            <w:proofErr w:type="spellStart"/>
            <w:r w:rsidRPr="004B0C4A">
              <w:rPr>
                <w:rFonts w:ascii="Calibri" w:eastAsia="Times New Roman" w:hAnsi="Calibri" w:cs="Calibri"/>
                <w:bCs/>
                <w:color w:val="000000"/>
                <w:sz w:val="20"/>
                <w:szCs w:val="20"/>
                <w:lang w:val="en-US" w:eastAsia="pl-PL"/>
              </w:rPr>
              <w:t>Orlitzky</w:t>
            </w:r>
            <w:proofErr w:type="spellEnd"/>
            <w:r w:rsidRPr="004B0C4A">
              <w:rPr>
                <w:rFonts w:ascii="Calibri" w:eastAsia="Times New Roman" w:hAnsi="Calibri" w:cs="Calibri"/>
                <w:bCs/>
                <w:color w:val="000000"/>
                <w:sz w:val="20"/>
                <w:szCs w:val="20"/>
                <w:lang w:val="en-US" w:eastAsia="pl-PL"/>
              </w:rPr>
              <w:t>, M. (2019). Fake organization science: The epistemic roots of elitist utopianism. Unpublished working paper.</w:t>
            </w:r>
          </w:p>
        </w:tc>
      </w:tr>
    </w:tbl>
    <w:p w:rsidR="002D14DE" w:rsidRDefault="002D14DE">
      <w:pPr>
        <w:rPr>
          <w:lang w:val="en-US"/>
        </w:rPr>
      </w:pPr>
    </w:p>
    <w:p w:rsidR="00963B92" w:rsidRDefault="00963B92">
      <w:pPr>
        <w:rPr>
          <w:lang w:val="en-US"/>
        </w:rPr>
      </w:pPr>
    </w:p>
    <w:p w:rsidR="00963B92" w:rsidRPr="002D14DE" w:rsidRDefault="00963B92">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086A60" w:rsidRPr="00326CE5" w:rsidTr="00532D0B">
        <w:trPr>
          <w:trHeight w:val="288"/>
        </w:trPr>
        <w:tc>
          <w:tcPr>
            <w:tcW w:w="9229" w:type="dxa"/>
            <w:gridSpan w:val="4"/>
            <w:shd w:val="clear" w:color="auto" w:fill="auto"/>
            <w:noWrap/>
            <w:vAlign w:val="bottom"/>
          </w:tcPr>
          <w:p w:rsidR="00086A60" w:rsidRPr="002D14DE" w:rsidRDefault="0049213E" w:rsidP="00974C09">
            <w:pPr>
              <w:spacing w:after="0" w:line="240" w:lineRule="auto"/>
              <w:rPr>
                <w:rFonts w:ascii="Calibri" w:eastAsia="Times New Roman" w:hAnsi="Calibri" w:cs="Calibri"/>
                <w:b/>
                <w:bCs/>
                <w:color w:val="000000"/>
                <w:sz w:val="20"/>
                <w:szCs w:val="20"/>
                <w:lang w:val="en-US" w:eastAsia="pl-PL"/>
              </w:rPr>
            </w:pPr>
            <w:r w:rsidRPr="0049213E">
              <w:rPr>
                <w:rFonts w:ascii="Calibri" w:eastAsia="Times New Roman" w:hAnsi="Calibri" w:cs="Calibri"/>
                <w:b/>
                <w:bCs/>
                <w:color w:val="000000"/>
                <w:sz w:val="20"/>
                <w:szCs w:val="20"/>
                <w:lang w:val="en-US" w:eastAsia="pl-PL"/>
              </w:rPr>
              <w:lastRenderedPageBreak/>
              <w:t xml:space="preserve">Brokerage and Network Cognition: the Creativity of the </w:t>
            </w:r>
            <w:proofErr w:type="spellStart"/>
            <w:r w:rsidRPr="0049213E">
              <w:rPr>
                <w:rFonts w:ascii="Calibri" w:eastAsia="Times New Roman" w:hAnsi="Calibri" w:cs="Calibri"/>
                <w:b/>
                <w:bCs/>
                <w:color w:val="000000"/>
                <w:sz w:val="20"/>
                <w:szCs w:val="20"/>
                <w:lang w:val="en-US" w:eastAsia="pl-PL"/>
              </w:rPr>
              <w:t>Tertius</w:t>
            </w:r>
            <w:proofErr w:type="spellEnd"/>
            <w:r w:rsidRPr="0049213E">
              <w:rPr>
                <w:rFonts w:ascii="Calibri" w:eastAsia="Times New Roman" w:hAnsi="Calibri" w:cs="Calibri"/>
                <w:b/>
                <w:bCs/>
                <w:color w:val="000000"/>
                <w:sz w:val="20"/>
                <w:szCs w:val="20"/>
                <w:lang w:val="en-US" w:eastAsia="pl-PL"/>
              </w:rPr>
              <w:t xml:space="preserve"> </w:t>
            </w:r>
            <w:proofErr w:type="spellStart"/>
            <w:r w:rsidRPr="0049213E">
              <w:rPr>
                <w:rFonts w:ascii="Calibri" w:eastAsia="Times New Roman" w:hAnsi="Calibri" w:cs="Calibri"/>
                <w:b/>
                <w:bCs/>
                <w:color w:val="000000"/>
                <w:sz w:val="20"/>
                <w:szCs w:val="20"/>
                <w:lang w:val="en-US" w:eastAsia="pl-PL"/>
              </w:rPr>
              <w:t>Ignarus</w:t>
            </w:r>
            <w:proofErr w:type="spellEnd"/>
            <w:r w:rsidRPr="0049213E">
              <w:rPr>
                <w:rFonts w:ascii="Calibri" w:eastAsia="Times New Roman" w:hAnsi="Calibri" w:cs="Calibri"/>
                <w:b/>
                <w:bCs/>
                <w:color w:val="000000"/>
                <w:sz w:val="20"/>
                <w:szCs w:val="20"/>
                <w:lang w:val="en-US" w:eastAsia="pl-PL"/>
              </w:rPr>
              <w:t>.</w:t>
            </w:r>
          </w:p>
        </w:tc>
      </w:tr>
      <w:tr w:rsidR="00086A60" w:rsidRPr="00086A60" w:rsidTr="00532D0B">
        <w:trPr>
          <w:trHeight w:val="288"/>
        </w:trPr>
        <w:tc>
          <w:tcPr>
            <w:tcW w:w="3080" w:type="dxa"/>
            <w:shd w:val="clear" w:color="auto" w:fill="auto"/>
            <w:noWrap/>
            <w:vAlign w:val="bottom"/>
            <w:hideMark/>
          </w:tcPr>
          <w:p w:rsidR="002D14DE" w:rsidRDefault="00086A60" w:rsidP="002D14DE">
            <w:pPr>
              <w:spacing w:after="0" w:line="240" w:lineRule="auto"/>
              <w:rPr>
                <w:rFonts w:ascii="Calibri" w:eastAsia="Times New Roman" w:hAnsi="Calibri" w:cs="Calibri"/>
                <w:bCs/>
                <w:color w:val="000000"/>
                <w:sz w:val="20"/>
                <w:szCs w:val="20"/>
                <w:lang w:eastAsia="pl-PL"/>
              </w:rPr>
            </w:pPr>
            <w:r w:rsidRPr="00086A60">
              <w:rPr>
                <w:rFonts w:ascii="Calibri" w:eastAsia="Times New Roman" w:hAnsi="Calibri" w:cs="Calibri"/>
                <w:bCs/>
                <w:color w:val="000000"/>
                <w:sz w:val="20"/>
                <w:szCs w:val="20"/>
                <w:lang w:eastAsia="pl-PL"/>
              </w:rPr>
              <w:t xml:space="preserve">Claudio </w:t>
            </w:r>
            <w:proofErr w:type="spellStart"/>
            <w:r w:rsidRPr="00086A60">
              <w:rPr>
                <w:rFonts w:ascii="Calibri" w:eastAsia="Times New Roman" w:hAnsi="Calibri" w:cs="Calibri"/>
                <w:bCs/>
                <w:color w:val="000000"/>
                <w:sz w:val="20"/>
                <w:szCs w:val="20"/>
                <w:lang w:eastAsia="pl-PL"/>
              </w:rPr>
              <w:t>Biscaro</w:t>
            </w:r>
            <w:proofErr w:type="spellEnd"/>
          </w:p>
          <w:p w:rsidR="00086A60" w:rsidRPr="00086A60" w:rsidRDefault="00086A60" w:rsidP="002D14DE">
            <w:pPr>
              <w:spacing w:after="0" w:line="240" w:lineRule="auto"/>
              <w:rPr>
                <w:rFonts w:ascii="Calibri" w:eastAsia="Times New Roman" w:hAnsi="Calibri" w:cs="Calibri"/>
                <w:bCs/>
                <w:color w:val="000000"/>
                <w:sz w:val="20"/>
                <w:szCs w:val="20"/>
                <w:lang w:eastAsia="pl-PL"/>
              </w:rPr>
            </w:pPr>
            <w:r w:rsidRPr="00086A60">
              <w:rPr>
                <w:rFonts w:ascii="Calibri" w:eastAsia="Times New Roman" w:hAnsi="Calibri" w:cs="Calibri"/>
                <w:bCs/>
                <w:color w:val="000000"/>
                <w:sz w:val="20"/>
                <w:szCs w:val="20"/>
                <w:lang w:eastAsia="pl-PL"/>
              </w:rPr>
              <w:t xml:space="preserve">(WU </w:t>
            </w:r>
            <w:proofErr w:type="spellStart"/>
            <w:r w:rsidRPr="00086A60">
              <w:rPr>
                <w:rFonts w:ascii="Calibri" w:eastAsia="Times New Roman" w:hAnsi="Calibri" w:cs="Calibri"/>
                <w:bCs/>
                <w:color w:val="000000"/>
                <w:sz w:val="20"/>
                <w:szCs w:val="20"/>
                <w:lang w:eastAsia="pl-PL"/>
              </w:rPr>
              <w:t>Vienna</w:t>
            </w:r>
            <w:proofErr w:type="spellEnd"/>
            <w:r w:rsidRPr="00086A60">
              <w:rPr>
                <w:rFonts w:ascii="Calibri" w:eastAsia="Times New Roman" w:hAnsi="Calibri" w:cs="Calibri"/>
                <w:bCs/>
                <w:color w:val="000000"/>
                <w:sz w:val="20"/>
                <w:szCs w:val="20"/>
                <w:lang w:eastAsia="pl-PL"/>
              </w:rPr>
              <w:t>)</w:t>
            </w:r>
          </w:p>
        </w:tc>
        <w:tc>
          <w:tcPr>
            <w:tcW w:w="1900" w:type="dxa"/>
            <w:shd w:val="clear" w:color="auto" w:fill="auto"/>
            <w:noWrap/>
            <w:vAlign w:val="bottom"/>
            <w:hideMark/>
          </w:tcPr>
          <w:p w:rsidR="00086A60" w:rsidRPr="00086A60" w:rsidRDefault="00086A60" w:rsidP="002D14DE">
            <w:pPr>
              <w:spacing w:after="0" w:line="240" w:lineRule="auto"/>
              <w:rPr>
                <w:rFonts w:ascii="Calibri" w:eastAsia="Times New Roman" w:hAnsi="Calibri" w:cs="Calibri"/>
                <w:bCs/>
                <w:color w:val="000000"/>
                <w:sz w:val="20"/>
                <w:szCs w:val="20"/>
                <w:lang w:eastAsia="pl-PL"/>
              </w:rPr>
            </w:pPr>
            <w:r w:rsidRPr="00086A60">
              <w:rPr>
                <w:rFonts w:ascii="Calibri" w:eastAsia="Times New Roman" w:hAnsi="Calibri" w:cs="Calibri"/>
                <w:bCs/>
                <w:color w:val="000000"/>
                <w:sz w:val="20"/>
                <w:szCs w:val="20"/>
                <w:lang w:eastAsia="pl-PL"/>
              </w:rPr>
              <w:t>04.03.2019</w:t>
            </w:r>
          </w:p>
        </w:tc>
        <w:tc>
          <w:tcPr>
            <w:tcW w:w="1720" w:type="dxa"/>
            <w:shd w:val="clear" w:color="auto" w:fill="auto"/>
            <w:noWrap/>
            <w:vAlign w:val="bottom"/>
            <w:hideMark/>
          </w:tcPr>
          <w:p w:rsidR="00086A60" w:rsidRPr="00086A60" w:rsidRDefault="00086A60" w:rsidP="002D14DE">
            <w:pPr>
              <w:spacing w:after="0" w:line="240" w:lineRule="auto"/>
              <w:rPr>
                <w:rFonts w:ascii="Calibri" w:eastAsia="Times New Roman" w:hAnsi="Calibri" w:cs="Calibri"/>
                <w:bCs/>
                <w:color w:val="000000"/>
                <w:sz w:val="20"/>
                <w:szCs w:val="20"/>
                <w:lang w:eastAsia="pl-PL"/>
              </w:rPr>
            </w:pPr>
            <w:r w:rsidRPr="00086A60">
              <w:rPr>
                <w:rFonts w:ascii="Calibri" w:eastAsia="Times New Roman" w:hAnsi="Calibri" w:cs="Calibri"/>
                <w:bCs/>
                <w:color w:val="000000"/>
                <w:sz w:val="20"/>
                <w:szCs w:val="20"/>
                <w:lang w:eastAsia="pl-PL"/>
              </w:rPr>
              <w:t>12:00-14:00</w:t>
            </w:r>
          </w:p>
        </w:tc>
        <w:tc>
          <w:tcPr>
            <w:tcW w:w="2529" w:type="dxa"/>
            <w:shd w:val="clear" w:color="auto" w:fill="auto"/>
            <w:noWrap/>
            <w:vAlign w:val="bottom"/>
            <w:hideMark/>
          </w:tcPr>
          <w:p w:rsidR="00086A60" w:rsidRPr="00086A60" w:rsidRDefault="00532D0B" w:rsidP="002D14DE">
            <w:pPr>
              <w:spacing w:after="0" w:line="240" w:lineRule="auto"/>
              <w:rPr>
                <w:rFonts w:ascii="Calibri" w:eastAsia="Times New Roman" w:hAnsi="Calibri" w:cs="Calibri"/>
                <w:bCs/>
                <w:color w:val="000000"/>
                <w:sz w:val="20"/>
                <w:szCs w:val="20"/>
                <w:lang w:eastAsia="pl-PL"/>
              </w:rPr>
            </w:pPr>
            <w:proofErr w:type="spellStart"/>
            <w:r>
              <w:rPr>
                <w:rFonts w:ascii="Calibri" w:eastAsia="Times New Roman" w:hAnsi="Calibri" w:cs="Calibri"/>
                <w:bCs/>
                <w:color w:val="000000"/>
                <w:sz w:val="20"/>
                <w:szCs w:val="20"/>
                <w:lang w:eastAsia="pl-PL"/>
              </w:rPr>
              <w:t>Monday</w:t>
            </w:r>
            <w:proofErr w:type="spellEnd"/>
          </w:p>
        </w:tc>
      </w:tr>
      <w:tr w:rsidR="00086A60" w:rsidRPr="00086A60" w:rsidTr="00532D0B">
        <w:trPr>
          <w:trHeight w:val="288"/>
        </w:trPr>
        <w:tc>
          <w:tcPr>
            <w:tcW w:w="9229" w:type="dxa"/>
            <w:gridSpan w:val="4"/>
            <w:shd w:val="clear" w:color="auto" w:fill="auto"/>
            <w:noWrap/>
            <w:vAlign w:val="bottom"/>
          </w:tcPr>
          <w:p w:rsidR="00086A60" w:rsidRPr="002C2A37" w:rsidRDefault="002C2A37" w:rsidP="002D14DE">
            <w:pPr>
              <w:spacing w:after="0" w:line="240" w:lineRule="auto"/>
              <w:jc w:val="both"/>
              <w:rPr>
                <w:rFonts w:ascii="Calibri" w:eastAsia="Times New Roman" w:hAnsi="Calibri" w:cs="Calibri"/>
                <w:bCs/>
                <w:color w:val="000000"/>
                <w:sz w:val="20"/>
                <w:szCs w:val="20"/>
                <w:lang w:eastAsia="pl-PL"/>
              </w:rPr>
            </w:pPr>
            <w:r w:rsidRPr="002C2A37">
              <w:rPr>
                <w:sz w:val="20"/>
                <w:szCs w:val="20"/>
                <w:lang w:val="en-US"/>
              </w:rPr>
              <w:t>The theory of structural holes predicts that individuals who broker among cliques of other individuals are able to turn ideas into good ones as they have the opportunity to tap into diverse pockets of knowledge, information and perspectives. Yet, many empirical studies on creativity report that returns on spanning structural holes vary profoundly. This study targets this puzzling evidence focusing on the network cognition held by each individual in the network. We conduct a mixed method study in a digital media company to assess network cognition and creativity. Results on the actual network confirm that spanning structural holes has a positive effect on creativity. However, the effect of network cognition is opposite: individuals are more creative when they think that the network that surrounds them is cohesive. We illustrate that when brokers ignore the fact that they are brokers, they benefit from the psychological support that the network sources, feel more risk-taker and enjoy more experimentation. We highlight that creativity draws mostly on psychological aspects rather than a rational and calculative behavior.</w:t>
            </w:r>
            <w:r w:rsidRPr="002C2A37">
              <w:rPr>
                <w:rFonts w:ascii="Calibri" w:eastAsia="Times New Roman" w:hAnsi="Calibri" w:cs="Calibri"/>
                <w:bCs/>
                <w:color w:val="000000"/>
                <w:sz w:val="20"/>
                <w:szCs w:val="20"/>
                <w:lang w:val="en-US" w:eastAsia="pl-PL"/>
              </w:rPr>
              <w:t xml:space="preserve"> </w:t>
            </w:r>
            <w:r w:rsidR="00086A60" w:rsidRPr="002C2A37">
              <w:rPr>
                <w:rFonts w:ascii="Calibri" w:eastAsia="Times New Roman" w:hAnsi="Calibri" w:cs="Calibri"/>
                <w:bCs/>
                <w:color w:val="000000"/>
                <w:sz w:val="20"/>
                <w:szCs w:val="20"/>
                <w:lang w:eastAsia="pl-PL"/>
              </w:rPr>
              <w:t>(co-</w:t>
            </w:r>
            <w:proofErr w:type="spellStart"/>
            <w:r w:rsidR="00086A60" w:rsidRPr="002C2A37">
              <w:rPr>
                <w:rFonts w:ascii="Calibri" w:eastAsia="Times New Roman" w:hAnsi="Calibri" w:cs="Calibri"/>
                <w:bCs/>
                <w:color w:val="000000"/>
                <w:sz w:val="20"/>
                <w:szCs w:val="20"/>
                <w:lang w:eastAsia="pl-PL"/>
              </w:rPr>
              <w:t>author</w:t>
            </w:r>
            <w:proofErr w:type="spellEnd"/>
            <w:r w:rsidR="00086A60" w:rsidRPr="002C2A37">
              <w:rPr>
                <w:rFonts w:ascii="Calibri" w:eastAsia="Times New Roman" w:hAnsi="Calibri" w:cs="Calibri"/>
                <w:bCs/>
                <w:color w:val="000000"/>
                <w:sz w:val="20"/>
                <w:szCs w:val="20"/>
                <w:lang w:eastAsia="pl-PL"/>
              </w:rPr>
              <w:t xml:space="preserve">: </w:t>
            </w:r>
            <w:proofErr w:type="spellStart"/>
            <w:r w:rsidR="00086A60" w:rsidRPr="002C2A37">
              <w:rPr>
                <w:rFonts w:ascii="Calibri" w:eastAsia="Times New Roman" w:hAnsi="Calibri" w:cs="Calibri"/>
                <w:bCs/>
                <w:color w:val="000000"/>
                <w:sz w:val="20"/>
                <w:szCs w:val="20"/>
                <w:lang w:eastAsia="pl-PL"/>
              </w:rPr>
              <w:t>Fabrizio</w:t>
            </w:r>
            <w:proofErr w:type="spellEnd"/>
            <w:r w:rsidR="00086A60" w:rsidRPr="002C2A37">
              <w:rPr>
                <w:rFonts w:ascii="Calibri" w:eastAsia="Times New Roman" w:hAnsi="Calibri" w:cs="Calibri"/>
                <w:bCs/>
                <w:color w:val="000000"/>
                <w:sz w:val="20"/>
                <w:szCs w:val="20"/>
                <w:lang w:eastAsia="pl-PL"/>
              </w:rPr>
              <w:t xml:space="preserve"> </w:t>
            </w:r>
            <w:proofErr w:type="spellStart"/>
            <w:r w:rsidR="00086A60" w:rsidRPr="002C2A37">
              <w:rPr>
                <w:rFonts w:ascii="Calibri" w:eastAsia="Times New Roman" w:hAnsi="Calibri" w:cs="Calibri"/>
                <w:bCs/>
                <w:color w:val="000000"/>
                <w:sz w:val="20"/>
                <w:szCs w:val="20"/>
                <w:lang w:eastAsia="pl-PL"/>
              </w:rPr>
              <w:t>Montanari</w:t>
            </w:r>
            <w:proofErr w:type="spellEnd"/>
            <w:r w:rsidR="00086A60" w:rsidRPr="002C2A37">
              <w:rPr>
                <w:rFonts w:ascii="Calibri" w:eastAsia="Times New Roman" w:hAnsi="Calibri" w:cs="Calibri"/>
                <w:bCs/>
                <w:color w:val="000000"/>
                <w:sz w:val="20"/>
                <w:szCs w:val="20"/>
                <w:lang w:eastAsia="pl-PL"/>
              </w:rPr>
              <w:t>)</w:t>
            </w:r>
          </w:p>
        </w:tc>
      </w:tr>
      <w:tr w:rsidR="0049213E" w:rsidRPr="00326CE5" w:rsidTr="00532D0B">
        <w:trPr>
          <w:trHeight w:val="288"/>
        </w:trPr>
        <w:tc>
          <w:tcPr>
            <w:tcW w:w="9229" w:type="dxa"/>
            <w:gridSpan w:val="4"/>
            <w:shd w:val="clear" w:color="auto" w:fill="auto"/>
            <w:noWrap/>
            <w:vAlign w:val="bottom"/>
          </w:tcPr>
          <w:p w:rsidR="0049213E" w:rsidRPr="0049213E" w:rsidRDefault="0049213E" w:rsidP="0049213E">
            <w:pPr>
              <w:spacing w:after="0" w:line="240" w:lineRule="auto"/>
              <w:rPr>
                <w:rFonts w:cstheme="minorHAnsi"/>
                <w:sz w:val="20"/>
                <w:szCs w:val="20"/>
                <w:lang w:val="en-US"/>
              </w:rPr>
            </w:pPr>
            <w:r w:rsidRPr="0049213E">
              <w:rPr>
                <w:rFonts w:eastAsia="Times New Roman" w:cstheme="minorHAnsi"/>
                <w:b/>
                <w:bCs/>
                <w:color w:val="000000"/>
                <w:sz w:val="20"/>
                <w:szCs w:val="20"/>
                <w:lang w:val="en-US" w:eastAsia="pl-PL"/>
              </w:rPr>
              <w:t xml:space="preserve">Recommended reading: </w:t>
            </w:r>
            <w:r w:rsidRPr="0049213E">
              <w:rPr>
                <w:rFonts w:cstheme="minorHAnsi"/>
                <w:sz w:val="20"/>
                <w:szCs w:val="20"/>
                <w:lang w:val="en-US"/>
              </w:rPr>
              <w:t xml:space="preserve">Burt, R. S., </w:t>
            </w:r>
            <w:proofErr w:type="spellStart"/>
            <w:r w:rsidRPr="0049213E">
              <w:rPr>
                <w:rFonts w:cstheme="minorHAnsi"/>
                <w:sz w:val="20"/>
                <w:szCs w:val="20"/>
                <w:lang w:val="en-US"/>
              </w:rPr>
              <w:t>Kilduff</w:t>
            </w:r>
            <w:proofErr w:type="spellEnd"/>
            <w:r w:rsidRPr="0049213E">
              <w:rPr>
                <w:rFonts w:cstheme="minorHAnsi"/>
                <w:sz w:val="20"/>
                <w:szCs w:val="20"/>
                <w:lang w:val="en-US"/>
              </w:rPr>
              <w:t xml:space="preserve">, M., &amp; </w:t>
            </w:r>
            <w:proofErr w:type="spellStart"/>
            <w:r w:rsidRPr="0049213E">
              <w:rPr>
                <w:rFonts w:cstheme="minorHAnsi"/>
                <w:sz w:val="20"/>
                <w:szCs w:val="20"/>
                <w:lang w:val="en-US"/>
              </w:rPr>
              <w:t>Tasselli</w:t>
            </w:r>
            <w:proofErr w:type="spellEnd"/>
            <w:r w:rsidRPr="0049213E">
              <w:rPr>
                <w:rFonts w:cstheme="minorHAnsi"/>
                <w:sz w:val="20"/>
                <w:szCs w:val="20"/>
                <w:lang w:val="en-US"/>
              </w:rPr>
              <w:t xml:space="preserve">, S. 2013. Social Network Analysis: Foundations and Frontiers on Advantage. </w:t>
            </w:r>
            <w:r w:rsidRPr="0049213E">
              <w:rPr>
                <w:rFonts w:cstheme="minorHAnsi"/>
                <w:b/>
                <w:i/>
                <w:sz w:val="20"/>
                <w:szCs w:val="20"/>
                <w:lang w:val="en-US"/>
              </w:rPr>
              <w:t>Annual Review of Psychology</w:t>
            </w:r>
            <w:r w:rsidRPr="0049213E">
              <w:rPr>
                <w:rFonts w:cstheme="minorHAnsi"/>
                <w:sz w:val="20"/>
                <w:szCs w:val="20"/>
                <w:lang w:val="en-US"/>
              </w:rPr>
              <w:t>, Vol 64, 64: 527-547.</w:t>
            </w:r>
          </w:p>
        </w:tc>
      </w:tr>
    </w:tbl>
    <w:p w:rsidR="002D14DE" w:rsidRDefault="002D14DE" w:rsidP="002D14DE">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974C09" w:rsidRPr="00326CE5" w:rsidTr="00721BBC">
        <w:trPr>
          <w:trHeight w:val="288"/>
        </w:trPr>
        <w:tc>
          <w:tcPr>
            <w:tcW w:w="9229" w:type="dxa"/>
            <w:gridSpan w:val="4"/>
            <w:shd w:val="clear" w:color="auto" w:fill="auto"/>
            <w:noWrap/>
            <w:vAlign w:val="bottom"/>
          </w:tcPr>
          <w:p w:rsidR="00974C09" w:rsidRPr="002D14DE" w:rsidRDefault="00974C09" w:rsidP="00721BBC">
            <w:pPr>
              <w:spacing w:after="0" w:line="240" w:lineRule="auto"/>
              <w:rPr>
                <w:rFonts w:ascii="Calibri" w:eastAsia="Times New Roman" w:hAnsi="Calibri" w:cs="Calibri"/>
                <w:b/>
                <w:bCs/>
                <w:color w:val="000000"/>
                <w:sz w:val="20"/>
                <w:szCs w:val="20"/>
                <w:lang w:val="en-US" w:eastAsia="pl-PL"/>
              </w:rPr>
            </w:pPr>
            <w:r w:rsidRPr="002D14DE">
              <w:rPr>
                <w:rFonts w:ascii="Calibri" w:eastAsia="Times New Roman" w:hAnsi="Calibri" w:cs="Calibri"/>
                <w:b/>
                <w:bCs/>
                <w:color w:val="000000"/>
                <w:sz w:val="20"/>
                <w:szCs w:val="20"/>
                <w:lang w:val="en-US" w:eastAsia="pl-PL"/>
              </w:rPr>
              <w:t>Confirmatory Factor Analysis for Comparative Research (part 1)</w:t>
            </w:r>
          </w:p>
        </w:tc>
      </w:tr>
      <w:tr w:rsidR="00974C09" w:rsidRPr="00532D0B" w:rsidTr="00721BBC">
        <w:trPr>
          <w:trHeight w:val="288"/>
        </w:trPr>
        <w:tc>
          <w:tcPr>
            <w:tcW w:w="3080" w:type="dxa"/>
            <w:shd w:val="clear" w:color="auto" w:fill="auto"/>
            <w:noWrap/>
            <w:vAlign w:val="bottom"/>
            <w:hideMark/>
          </w:tcPr>
          <w:p w:rsidR="00974C09" w:rsidRDefault="00974C09" w:rsidP="00721BBC">
            <w:pPr>
              <w:spacing w:after="0" w:line="240" w:lineRule="auto"/>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Peter Schmidt</w:t>
            </w:r>
          </w:p>
          <w:p w:rsidR="00974C09" w:rsidRPr="00532D0B" w:rsidRDefault="00974C09" w:rsidP="00721BBC">
            <w:pPr>
              <w:spacing w:after="0" w:line="240" w:lineRule="auto"/>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(University of </w:t>
            </w:r>
            <w:proofErr w:type="spellStart"/>
            <w:r w:rsidRPr="00532D0B">
              <w:rPr>
                <w:rFonts w:ascii="Calibri" w:eastAsia="Times New Roman" w:hAnsi="Calibri" w:cs="Calibri"/>
                <w:bCs/>
                <w:color w:val="000000"/>
                <w:sz w:val="20"/>
                <w:szCs w:val="20"/>
                <w:lang w:val="en-US" w:eastAsia="pl-PL"/>
              </w:rPr>
              <w:t>Gießen</w:t>
            </w:r>
            <w:proofErr w:type="spellEnd"/>
            <w:r w:rsidRPr="00532D0B">
              <w:rPr>
                <w:rFonts w:ascii="Calibri" w:eastAsia="Times New Roman" w:hAnsi="Calibri" w:cs="Calibri"/>
                <w:bCs/>
                <w:color w:val="000000"/>
                <w:sz w:val="20"/>
                <w:szCs w:val="20"/>
                <w:lang w:val="en-US" w:eastAsia="pl-PL"/>
              </w:rPr>
              <w:t>)</w:t>
            </w:r>
          </w:p>
        </w:tc>
        <w:tc>
          <w:tcPr>
            <w:tcW w:w="1900" w:type="dxa"/>
            <w:shd w:val="clear" w:color="auto" w:fill="auto"/>
            <w:noWrap/>
            <w:vAlign w:val="bottom"/>
            <w:hideMark/>
          </w:tcPr>
          <w:p w:rsidR="00974C09" w:rsidRPr="00532D0B" w:rsidRDefault="00974C09" w:rsidP="00721BBC">
            <w:pPr>
              <w:spacing w:after="0" w:line="240" w:lineRule="auto"/>
              <w:rPr>
                <w:rFonts w:ascii="Calibri" w:eastAsia="Times New Roman" w:hAnsi="Calibri" w:cs="Calibri"/>
                <w:bCs/>
                <w:color w:val="000000"/>
                <w:sz w:val="20"/>
                <w:szCs w:val="20"/>
                <w:lang w:eastAsia="pl-PL"/>
              </w:rPr>
            </w:pPr>
            <w:r w:rsidRPr="00532D0B">
              <w:rPr>
                <w:rFonts w:ascii="Calibri" w:eastAsia="Times New Roman" w:hAnsi="Calibri" w:cs="Calibri"/>
                <w:bCs/>
                <w:color w:val="000000"/>
                <w:sz w:val="20"/>
                <w:szCs w:val="20"/>
                <w:lang w:eastAsia="pl-PL"/>
              </w:rPr>
              <w:t>09.03.2019</w:t>
            </w:r>
          </w:p>
        </w:tc>
        <w:tc>
          <w:tcPr>
            <w:tcW w:w="1720" w:type="dxa"/>
            <w:shd w:val="clear" w:color="auto" w:fill="auto"/>
            <w:noWrap/>
            <w:vAlign w:val="bottom"/>
            <w:hideMark/>
          </w:tcPr>
          <w:p w:rsidR="00974C09" w:rsidRPr="00532D0B" w:rsidRDefault="00974C09" w:rsidP="00721BBC">
            <w:pPr>
              <w:spacing w:after="0" w:line="240" w:lineRule="auto"/>
              <w:rPr>
                <w:rFonts w:ascii="Calibri" w:eastAsia="Times New Roman" w:hAnsi="Calibri" w:cs="Calibri"/>
                <w:bCs/>
                <w:color w:val="000000"/>
                <w:sz w:val="20"/>
                <w:szCs w:val="20"/>
                <w:lang w:eastAsia="pl-PL"/>
              </w:rPr>
            </w:pPr>
            <w:r w:rsidRPr="00532D0B">
              <w:rPr>
                <w:rFonts w:ascii="Calibri" w:eastAsia="Times New Roman" w:hAnsi="Calibri" w:cs="Calibri"/>
                <w:bCs/>
                <w:color w:val="000000"/>
                <w:sz w:val="20"/>
                <w:szCs w:val="20"/>
                <w:lang w:eastAsia="pl-PL"/>
              </w:rPr>
              <w:t>11:00-13:00</w:t>
            </w:r>
          </w:p>
        </w:tc>
        <w:tc>
          <w:tcPr>
            <w:tcW w:w="2529" w:type="dxa"/>
            <w:shd w:val="clear" w:color="auto" w:fill="auto"/>
            <w:noWrap/>
            <w:vAlign w:val="bottom"/>
            <w:hideMark/>
          </w:tcPr>
          <w:p w:rsidR="00974C09" w:rsidRPr="00532D0B" w:rsidRDefault="00974C09" w:rsidP="00721BBC">
            <w:pPr>
              <w:spacing w:after="0" w:line="240" w:lineRule="auto"/>
              <w:rPr>
                <w:rFonts w:ascii="Calibri" w:eastAsia="Times New Roman" w:hAnsi="Calibri" w:cs="Calibri"/>
                <w:bCs/>
                <w:color w:val="000000"/>
                <w:sz w:val="20"/>
                <w:szCs w:val="20"/>
                <w:lang w:eastAsia="pl-PL"/>
              </w:rPr>
            </w:pPr>
            <w:proofErr w:type="spellStart"/>
            <w:r>
              <w:rPr>
                <w:rFonts w:ascii="Calibri" w:eastAsia="Times New Roman" w:hAnsi="Calibri" w:cs="Calibri"/>
                <w:bCs/>
                <w:color w:val="000000"/>
                <w:sz w:val="20"/>
                <w:szCs w:val="20"/>
                <w:lang w:eastAsia="pl-PL"/>
              </w:rPr>
              <w:t>Saturday</w:t>
            </w:r>
            <w:proofErr w:type="spellEnd"/>
          </w:p>
        </w:tc>
      </w:tr>
      <w:tr w:rsidR="00974C09" w:rsidRPr="00326CE5" w:rsidTr="00721BBC">
        <w:trPr>
          <w:trHeight w:val="288"/>
        </w:trPr>
        <w:tc>
          <w:tcPr>
            <w:tcW w:w="9229" w:type="dxa"/>
            <w:gridSpan w:val="4"/>
            <w:shd w:val="clear" w:color="auto" w:fill="auto"/>
            <w:noWrap/>
            <w:vAlign w:val="bottom"/>
          </w:tcPr>
          <w:p w:rsidR="00974C09"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Overview of the whole course. Comparative Data-Set (European Social Survey) and Type of Models. Causality and empirical research, notation, different types of models, theory testing, use of the MPLUS 8 manual and Discussion of the Course material. Use of own data. Presentation of own models at 18.8. and consultations. List of appointments</w:t>
            </w:r>
          </w:p>
          <w:p w:rsidR="00BB6D31" w:rsidRPr="00532D0B" w:rsidRDefault="00BB6D31" w:rsidP="00721BBC">
            <w:pPr>
              <w:spacing w:after="0" w:line="240" w:lineRule="auto"/>
              <w:jc w:val="both"/>
              <w:rPr>
                <w:rFonts w:ascii="Calibri" w:eastAsia="Times New Roman" w:hAnsi="Calibri" w:cs="Calibri"/>
                <w:bCs/>
                <w:color w:val="000000"/>
                <w:sz w:val="20"/>
                <w:szCs w:val="20"/>
                <w:lang w:val="en-US" w:eastAsia="pl-PL"/>
              </w:rPr>
            </w:pP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PRACTICAL SESSION: MPLUS and the logic of its use. Selected items and constructs: Values in the three Benelux countries. Confirmatory Factor Analysis (CFA) with one theoretical construct (factor). ML and MLR estimation Preparation of EXAMPLE 1: (input file: Benelux_nomissing.dat). Tradition and Conformity in the three Benelux countries with four indicators. Computation and Output Interpretation of model 1.</w:t>
            </w: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Foundation of CFA: Process of linear causal modelling, Raw Data as input, assumptions, Types of constraints including Equality constraints, formalization, formative vs. reflective indicators, typology of models, Maximum Likelihood Estimation (ML) and </w:t>
            </w:r>
            <w:proofErr w:type="spellStart"/>
            <w:r w:rsidRPr="00532D0B">
              <w:rPr>
                <w:rFonts w:ascii="Calibri" w:eastAsia="Times New Roman" w:hAnsi="Calibri" w:cs="Calibri"/>
                <w:bCs/>
                <w:color w:val="000000"/>
                <w:sz w:val="20"/>
                <w:szCs w:val="20"/>
                <w:lang w:val="en-US" w:eastAsia="pl-PL"/>
              </w:rPr>
              <w:t>Robustified</w:t>
            </w:r>
            <w:proofErr w:type="spellEnd"/>
            <w:r w:rsidRPr="00532D0B">
              <w:rPr>
                <w:rFonts w:ascii="Calibri" w:eastAsia="Times New Roman" w:hAnsi="Calibri" w:cs="Calibri"/>
                <w:bCs/>
                <w:color w:val="000000"/>
                <w:sz w:val="20"/>
                <w:szCs w:val="20"/>
                <w:lang w:val="en-US" w:eastAsia="pl-PL"/>
              </w:rPr>
              <w:t xml:space="preserve"> Maximum Likelihood Estimation (MLR). Ordinal Indicators and WLSMV Estimator.</w:t>
            </w: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PRACTICAL SESSION: Preparation of CFA EXAMPLES 2a (parallel), 2b (tau-equivalent) and 2c (congeneric ordinal): (input file: NL2.dat). Output interpretation and comparison of quantitative and ordinal models in terms of fit, coefficients and explained variance.  </w:t>
            </w: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p>
          <w:p w:rsidR="00974C09"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Restrictions, Identification, Model Modifications, Global and Detailed Model Fit, Simultaneous Confirmatory Factor Analysis (SCFA) vs. </w:t>
            </w:r>
            <w:proofErr w:type="spellStart"/>
            <w:r w:rsidRPr="00532D0B">
              <w:rPr>
                <w:rFonts w:ascii="Calibri" w:eastAsia="Times New Roman" w:hAnsi="Calibri" w:cs="Calibri"/>
                <w:bCs/>
                <w:color w:val="000000"/>
                <w:sz w:val="20"/>
                <w:szCs w:val="20"/>
                <w:lang w:val="en-US" w:eastAsia="pl-PL"/>
              </w:rPr>
              <w:t>Seperate</w:t>
            </w:r>
            <w:proofErr w:type="spellEnd"/>
            <w:r w:rsidRPr="00532D0B">
              <w:rPr>
                <w:rFonts w:ascii="Calibri" w:eastAsia="Times New Roman" w:hAnsi="Calibri" w:cs="Calibri"/>
                <w:bCs/>
                <w:color w:val="000000"/>
                <w:sz w:val="20"/>
                <w:szCs w:val="20"/>
                <w:lang w:val="en-US" w:eastAsia="pl-PL"/>
              </w:rPr>
              <w:t xml:space="preserve"> Confirmatory Factor Analysis. Cross-Loadings and Measurement Error correlations. Model Modification with J-Rule and Power Analysis.</w:t>
            </w: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PRACTICAL SESSION: Preparation of EXAMPLES 3a and 3b: (input File: NL2.dat). Simultaneous Confirmatory Factor Analysis and its modification: Tradition/Conformity, Universalism and Attitude toward immigration. Examination of detailed and global model fit. </w:t>
            </w: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Multiple Group Confirmatory Factor Analysis (MGCFA). </w:t>
            </w:r>
            <w:proofErr w:type="spellStart"/>
            <w:r w:rsidRPr="00532D0B">
              <w:rPr>
                <w:rFonts w:ascii="Calibri" w:eastAsia="Times New Roman" w:hAnsi="Calibri" w:cs="Calibri"/>
                <w:bCs/>
                <w:color w:val="000000"/>
                <w:sz w:val="20"/>
                <w:szCs w:val="20"/>
                <w:lang w:val="en-US" w:eastAsia="pl-PL"/>
              </w:rPr>
              <w:t>Configural</w:t>
            </w:r>
            <w:proofErr w:type="spellEnd"/>
            <w:r w:rsidRPr="00532D0B">
              <w:rPr>
                <w:rFonts w:ascii="Calibri" w:eastAsia="Times New Roman" w:hAnsi="Calibri" w:cs="Calibri"/>
                <w:bCs/>
                <w:color w:val="000000"/>
                <w:sz w:val="20"/>
                <w:szCs w:val="20"/>
                <w:lang w:val="en-US" w:eastAsia="pl-PL"/>
              </w:rPr>
              <w:t>, metric and scalar invariance in cross cultural research. Classical and new fit measures for testing invariance. The concept of partial invariance. The new Alignment procedure in MPLUS for comparisons of many groups(Fixed and Random)</w:t>
            </w:r>
          </w:p>
          <w:p w:rsidR="00974C09" w:rsidRDefault="00974C09" w:rsidP="00721BBC">
            <w:pPr>
              <w:spacing w:after="0" w:line="240" w:lineRule="auto"/>
              <w:jc w:val="both"/>
              <w:rPr>
                <w:rFonts w:ascii="Calibri" w:eastAsia="Times New Roman" w:hAnsi="Calibri" w:cs="Calibri"/>
                <w:bCs/>
                <w:color w:val="000000"/>
                <w:sz w:val="20"/>
                <w:szCs w:val="20"/>
                <w:lang w:val="en-US" w:eastAsia="pl-PL"/>
              </w:rPr>
            </w:pP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PRACTICAL SESSION: MGSCFA. Preparation of EXAMPLE 4a: (Benelux_noMissing.dat) Multiple group comparisons with the top down approach (MGCFA) due to BENELUX countries.</w:t>
            </w: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EXAMPLE 4b: CONFIGURAL METRIC SCALAR: the new procedure to perform a simultaneous test of measurement invariance (same input File) EXAMPLE 4c ALIGNMENT(Fixed and Random, ML ) as an alternative invariance testing procedure (same input File).     </w:t>
            </w: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p>
          <w:p w:rsidR="00974C09"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Scalar invariance in cross cultural research as a prerequisite of comparing observed and latent means. Mean Comparisons of items, Indices and Latent Variables. Drawbacks of the t-Test. Approximate Measurement Invariance and the Bayesian approach. Higher order CFA. General Strategy for testing measurement models in comparative research. How to report CFA results in comparative research.</w:t>
            </w: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p>
          <w:p w:rsidR="00974C09" w:rsidRPr="00532D0B" w:rsidRDefault="00974C09" w:rsidP="00721BBC">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PRACTICAL SESSION: EXAMPLE 5: (Input Files: Benelux.dat) CFA with latent means: Subgroups Belgium, Netherlands, Luxemburg. Output interpretation. EXAMPLE 6: (same input File) Approximate Measurement Invariance and Bayesian estimation with a-priori information for estimating latent means.</w:t>
            </w:r>
          </w:p>
        </w:tc>
      </w:tr>
    </w:tbl>
    <w:p w:rsidR="00974C09" w:rsidRDefault="00974C09" w:rsidP="002D14DE">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2D14DE" w:rsidRPr="00326CE5" w:rsidTr="00721BBC">
        <w:trPr>
          <w:trHeight w:val="288"/>
        </w:trPr>
        <w:tc>
          <w:tcPr>
            <w:tcW w:w="9229" w:type="dxa"/>
            <w:gridSpan w:val="4"/>
            <w:shd w:val="clear" w:color="auto" w:fill="auto"/>
            <w:noWrap/>
            <w:vAlign w:val="bottom"/>
          </w:tcPr>
          <w:p w:rsidR="002D14DE" w:rsidRPr="002D14DE" w:rsidRDefault="002D14DE" w:rsidP="00721BBC">
            <w:pPr>
              <w:spacing w:after="0" w:line="240" w:lineRule="auto"/>
              <w:rPr>
                <w:rFonts w:ascii="Calibri" w:eastAsia="Times New Roman" w:hAnsi="Calibri" w:cs="Calibri"/>
                <w:b/>
                <w:bCs/>
                <w:color w:val="000000"/>
                <w:sz w:val="20"/>
                <w:szCs w:val="20"/>
                <w:lang w:val="en-US" w:eastAsia="pl-PL"/>
              </w:rPr>
            </w:pPr>
            <w:r w:rsidRPr="002D14DE">
              <w:rPr>
                <w:rFonts w:ascii="Calibri" w:eastAsia="Times New Roman" w:hAnsi="Calibri" w:cs="Calibri"/>
                <w:b/>
                <w:bCs/>
                <w:color w:val="000000"/>
                <w:sz w:val="20"/>
                <w:szCs w:val="20"/>
                <w:lang w:val="en-US" w:eastAsia="pl-PL"/>
              </w:rPr>
              <w:t>Making sense of Organization Theory</w:t>
            </w:r>
          </w:p>
        </w:tc>
      </w:tr>
      <w:tr w:rsidR="002D14DE" w:rsidRPr="000B6DAC" w:rsidTr="00721BBC">
        <w:trPr>
          <w:trHeight w:val="288"/>
        </w:trPr>
        <w:tc>
          <w:tcPr>
            <w:tcW w:w="3080" w:type="dxa"/>
            <w:shd w:val="clear" w:color="auto" w:fill="auto"/>
            <w:noWrap/>
            <w:vAlign w:val="bottom"/>
            <w:hideMark/>
          </w:tcPr>
          <w:p w:rsidR="002D14DE" w:rsidRDefault="002D14DE" w:rsidP="00721BBC">
            <w:pPr>
              <w:spacing w:after="0" w:line="240" w:lineRule="auto"/>
              <w:rPr>
                <w:rFonts w:ascii="Calibri" w:eastAsia="Times New Roman" w:hAnsi="Calibri" w:cs="Calibri"/>
                <w:bCs/>
                <w:color w:val="000000"/>
                <w:sz w:val="20"/>
                <w:szCs w:val="20"/>
                <w:lang w:eastAsia="pl-PL"/>
              </w:rPr>
            </w:pPr>
            <w:proofErr w:type="spellStart"/>
            <w:r w:rsidRPr="000B6DAC">
              <w:rPr>
                <w:rFonts w:ascii="Calibri" w:eastAsia="Times New Roman" w:hAnsi="Calibri" w:cs="Calibri"/>
                <w:bCs/>
                <w:color w:val="000000"/>
                <w:sz w:val="20"/>
                <w:szCs w:val="20"/>
                <w:lang w:eastAsia="pl-PL"/>
              </w:rPr>
              <w:t>Tuomo</w:t>
            </w:r>
            <w:proofErr w:type="spellEnd"/>
            <w:r w:rsidRPr="000B6DAC">
              <w:rPr>
                <w:rFonts w:ascii="Calibri" w:eastAsia="Times New Roman" w:hAnsi="Calibri" w:cs="Calibri"/>
                <w:bCs/>
                <w:color w:val="000000"/>
                <w:sz w:val="20"/>
                <w:szCs w:val="20"/>
                <w:lang w:eastAsia="pl-PL"/>
              </w:rPr>
              <w:t xml:space="preserve"> Peltonen</w:t>
            </w:r>
          </w:p>
          <w:p w:rsidR="002D14DE" w:rsidRPr="000B6DAC" w:rsidRDefault="002D14DE" w:rsidP="00721BBC">
            <w:pPr>
              <w:spacing w:after="0" w:line="240" w:lineRule="auto"/>
              <w:rPr>
                <w:rFonts w:ascii="Calibri" w:eastAsia="Times New Roman" w:hAnsi="Calibri" w:cs="Calibri"/>
                <w:bCs/>
                <w:color w:val="000000"/>
                <w:sz w:val="20"/>
                <w:szCs w:val="20"/>
                <w:lang w:eastAsia="pl-PL"/>
              </w:rPr>
            </w:pPr>
            <w:r w:rsidRPr="000B6DAC">
              <w:rPr>
                <w:rFonts w:ascii="Calibri" w:eastAsia="Times New Roman" w:hAnsi="Calibri" w:cs="Calibri"/>
                <w:bCs/>
                <w:color w:val="000000"/>
                <w:sz w:val="20"/>
                <w:szCs w:val="20"/>
                <w:lang w:eastAsia="pl-PL"/>
              </w:rPr>
              <w:t>(</w:t>
            </w:r>
            <w:proofErr w:type="spellStart"/>
            <w:r w:rsidRPr="000B6DAC">
              <w:rPr>
                <w:rFonts w:ascii="Calibri" w:eastAsia="Times New Roman" w:hAnsi="Calibri" w:cs="Calibri"/>
                <w:bCs/>
                <w:color w:val="000000"/>
                <w:sz w:val="20"/>
                <w:szCs w:val="20"/>
                <w:lang w:eastAsia="pl-PL"/>
              </w:rPr>
              <w:t>Åbo</w:t>
            </w:r>
            <w:proofErr w:type="spellEnd"/>
            <w:r w:rsidRPr="000B6DAC">
              <w:rPr>
                <w:rFonts w:ascii="Calibri" w:eastAsia="Times New Roman" w:hAnsi="Calibri" w:cs="Calibri"/>
                <w:bCs/>
                <w:color w:val="000000"/>
                <w:sz w:val="20"/>
                <w:szCs w:val="20"/>
                <w:lang w:eastAsia="pl-PL"/>
              </w:rPr>
              <w:t xml:space="preserve"> </w:t>
            </w:r>
            <w:proofErr w:type="spellStart"/>
            <w:r w:rsidRPr="000B6DAC">
              <w:rPr>
                <w:rFonts w:ascii="Calibri" w:eastAsia="Times New Roman" w:hAnsi="Calibri" w:cs="Calibri"/>
                <w:bCs/>
                <w:color w:val="000000"/>
                <w:sz w:val="20"/>
                <w:szCs w:val="20"/>
                <w:lang w:eastAsia="pl-PL"/>
              </w:rPr>
              <w:t>Akademi</w:t>
            </w:r>
            <w:proofErr w:type="spellEnd"/>
            <w:r w:rsidRPr="000B6DAC">
              <w:rPr>
                <w:rFonts w:ascii="Calibri" w:eastAsia="Times New Roman" w:hAnsi="Calibri" w:cs="Calibri"/>
                <w:bCs/>
                <w:color w:val="000000"/>
                <w:sz w:val="20"/>
                <w:szCs w:val="20"/>
                <w:lang w:eastAsia="pl-PL"/>
              </w:rPr>
              <w:t xml:space="preserve"> University)</w:t>
            </w:r>
          </w:p>
        </w:tc>
        <w:tc>
          <w:tcPr>
            <w:tcW w:w="1900" w:type="dxa"/>
            <w:shd w:val="clear" w:color="auto" w:fill="auto"/>
            <w:noWrap/>
            <w:vAlign w:val="bottom"/>
            <w:hideMark/>
          </w:tcPr>
          <w:p w:rsidR="002D14DE" w:rsidRPr="000B6DAC" w:rsidRDefault="002D14DE" w:rsidP="00721BBC">
            <w:pPr>
              <w:spacing w:after="0" w:line="240" w:lineRule="auto"/>
              <w:rPr>
                <w:rFonts w:ascii="Calibri" w:eastAsia="Times New Roman" w:hAnsi="Calibri" w:cs="Calibri"/>
                <w:bCs/>
                <w:color w:val="000000"/>
                <w:sz w:val="20"/>
                <w:szCs w:val="20"/>
                <w:lang w:eastAsia="pl-PL"/>
              </w:rPr>
            </w:pPr>
            <w:r w:rsidRPr="000B6DAC">
              <w:rPr>
                <w:rFonts w:ascii="Calibri" w:eastAsia="Times New Roman" w:hAnsi="Calibri" w:cs="Calibri"/>
                <w:bCs/>
                <w:color w:val="000000"/>
                <w:sz w:val="20"/>
                <w:szCs w:val="20"/>
                <w:lang w:eastAsia="pl-PL"/>
              </w:rPr>
              <w:t>09.03.2019</w:t>
            </w:r>
          </w:p>
        </w:tc>
        <w:tc>
          <w:tcPr>
            <w:tcW w:w="1720" w:type="dxa"/>
            <w:shd w:val="clear" w:color="auto" w:fill="auto"/>
            <w:noWrap/>
            <w:vAlign w:val="bottom"/>
            <w:hideMark/>
          </w:tcPr>
          <w:p w:rsidR="002D14DE" w:rsidRPr="000B6DAC" w:rsidRDefault="002D14DE" w:rsidP="00974C09">
            <w:pPr>
              <w:spacing w:after="0" w:line="240" w:lineRule="auto"/>
              <w:rPr>
                <w:rFonts w:ascii="Calibri" w:eastAsia="Times New Roman" w:hAnsi="Calibri" w:cs="Calibri"/>
                <w:bCs/>
                <w:color w:val="000000"/>
                <w:sz w:val="20"/>
                <w:szCs w:val="20"/>
                <w:lang w:eastAsia="pl-PL"/>
              </w:rPr>
            </w:pPr>
            <w:r w:rsidRPr="000B6DAC">
              <w:rPr>
                <w:rFonts w:ascii="Calibri" w:eastAsia="Times New Roman" w:hAnsi="Calibri" w:cs="Calibri"/>
                <w:bCs/>
                <w:color w:val="000000"/>
                <w:sz w:val="20"/>
                <w:szCs w:val="20"/>
                <w:lang w:eastAsia="pl-PL"/>
              </w:rPr>
              <w:t>1</w:t>
            </w:r>
            <w:r w:rsidR="00974C09">
              <w:rPr>
                <w:rFonts w:ascii="Calibri" w:eastAsia="Times New Roman" w:hAnsi="Calibri" w:cs="Calibri"/>
                <w:bCs/>
                <w:color w:val="000000"/>
                <w:sz w:val="20"/>
                <w:szCs w:val="20"/>
                <w:lang w:eastAsia="pl-PL"/>
              </w:rPr>
              <w:t>3</w:t>
            </w:r>
            <w:r w:rsidRPr="000B6DAC">
              <w:rPr>
                <w:rFonts w:ascii="Calibri" w:eastAsia="Times New Roman" w:hAnsi="Calibri" w:cs="Calibri"/>
                <w:bCs/>
                <w:color w:val="000000"/>
                <w:sz w:val="20"/>
                <w:szCs w:val="20"/>
                <w:lang w:eastAsia="pl-PL"/>
              </w:rPr>
              <w:t>:</w:t>
            </w:r>
            <w:r w:rsidR="00974C09">
              <w:rPr>
                <w:rFonts w:ascii="Calibri" w:eastAsia="Times New Roman" w:hAnsi="Calibri" w:cs="Calibri"/>
                <w:bCs/>
                <w:color w:val="000000"/>
                <w:sz w:val="20"/>
                <w:szCs w:val="20"/>
                <w:lang w:eastAsia="pl-PL"/>
              </w:rPr>
              <w:t>15</w:t>
            </w:r>
            <w:r w:rsidRPr="000B6DAC">
              <w:rPr>
                <w:rFonts w:ascii="Calibri" w:eastAsia="Times New Roman" w:hAnsi="Calibri" w:cs="Calibri"/>
                <w:bCs/>
                <w:color w:val="000000"/>
                <w:sz w:val="20"/>
                <w:szCs w:val="20"/>
                <w:lang w:eastAsia="pl-PL"/>
              </w:rPr>
              <w:t>-1</w:t>
            </w:r>
            <w:r w:rsidR="00974C09">
              <w:rPr>
                <w:rFonts w:ascii="Calibri" w:eastAsia="Times New Roman" w:hAnsi="Calibri" w:cs="Calibri"/>
                <w:bCs/>
                <w:color w:val="000000"/>
                <w:sz w:val="20"/>
                <w:szCs w:val="20"/>
                <w:lang w:eastAsia="pl-PL"/>
              </w:rPr>
              <w:t>5</w:t>
            </w:r>
            <w:r w:rsidRPr="000B6DAC">
              <w:rPr>
                <w:rFonts w:ascii="Calibri" w:eastAsia="Times New Roman" w:hAnsi="Calibri" w:cs="Calibri"/>
                <w:bCs/>
                <w:color w:val="000000"/>
                <w:sz w:val="20"/>
                <w:szCs w:val="20"/>
                <w:lang w:eastAsia="pl-PL"/>
              </w:rPr>
              <w:t>:00</w:t>
            </w:r>
          </w:p>
        </w:tc>
        <w:tc>
          <w:tcPr>
            <w:tcW w:w="2529" w:type="dxa"/>
            <w:shd w:val="clear" w:color="auto" w:fill="auto"/>
            <w:noWrap/>
            <w:vAlign w:val="bottom"/>
            <w:hideMark/>
          </w:tcPr>
          <w:p w:rsidR="002D14DE" w:rsidRPr="000B6DAC" w:rsidRDefault="002D14DE" w:rsidP="00721BBC">
            <w:pPr>
              <w:spacing w:after="0" w:line="240" w:lineRule="auto"/>
              <w:rPr>
                <w:rFonts w:ascii="Calibri" w:eastAsia="Times New Roman" w:hAnsi="Calibri" w:cs="Calibri"/>
                <w:bCs/>
                <w:color w:val="000000"/>
                <w:sz w:val="20"/>
                <w:szCs w:val="20"/>
                <w:lang w:eastAsia="pl-PL"/>
              </w:rPr>
            </w:pPr>
            <w:proofErr w:type="spellStart"/>
            <w:r>
              <w:rPr>
                <w:rFonts w:ascii="Calibri" w:eastAsia="Times New Roman" w:hAnsi="Calibri" w:cs="Calibri"/>
                <w:bCs/>
                <w:color w:val="000000"/>
                <w:sz w:val="20"/>
                <w:szCs w:val="20"/>
                <w:lang w:eastAsia="pl-PL"/>
              </w:rPr>
              <w:t>Saturday</w:t>
            </w:r>
            <w:proofErr w:type="spellEnd"/>
          </w:p>
        </w:tc>
      </w:tr>
      <w:tr w:rsidR="002D14DE" w:rsidRPr="00326CE5" w:rsidTr="00721BBC">
        <w:trPr>
          <w:trHeight w:val="288"/>
        </w:trPr>
        <w:tc>
          <w:tcPr>
            <w:tcW w:w="9229" w:type="dxa"/>
            <w:gridSpan w:val="4"/>
            <w:shd w:val="clear" w:color="auto" w:fill="auto"/>
            <w:noWrap/>
            <w:vAlign w:val="bottom"/>
          </w:tcPr>
          <w:p w:rsidR="002D14DE" w:rsidRPr="00532D0B" w:rsidRDefault="002D14DE" w:rsidP="00D15120">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Organization theory is a robust field of theorizing about the nature of organizations and organizing. Yet in its current form, it is highly fragmented into different camps and schools of thought, with little grasp of its overall development and of the relations between different perspectives. In this seminar, I will offer some tools to make sense of the field of organization theory. The approach adopted is largely meta-theoretical, i.e. focusing on the philosophical and paradigmatic aspects of different theories or groups of theories.  I will start with the influential paradigm scheme of Burrell and Morgan (1979), and then describe the ensuing debate about the problem of multiple paradigms in management studies. Topics include: the controversy over the state of paradigm fragmentation, the possibility of </w:t>
            </w:r>
            <w:proofErr w:type="spellStart"/>
            <w:r w:rsidRPr="00532D0B">
              <w:rPr>
                <w:rFonts w:ascii="Calibri" w:eastAsia="Times New Roman" w:hAnsi="Calibri" w:cs="Calibri"/>
                <w:bCs/>
                <w:color w:val="000000"/>
                <w:sz w:val="20"/>
                <w:szCs w:val="20"/>
                <w:lang w:val="en-US" w:eastAsia="pl-PL"/>
              </w:rPr>
              <w:t>multiparadigm</w:t>
            </w:r>
            <w:proofErr w:type="spellEnd"/>
            <w:r w:rsidRPr="00532D0B">
              <w:rPr>
                <w:rFonts w:ascii="Calibri" w:eastAsia="Times New Roman" w:hAnsi="Calibri" w:cs="Calibri"/>
                <w:bCs/>
                <w:color w:val="000000"/>
                <w:sz w:val="20"/>
                <w:szCs w:val="20"/>
                <w:lang w:val="en-US" w:eastAsia="pl-PL"/>
              </w:rPr>
              <w:t xml:space="preserve"> research and the emergence of new paradigms – especially postmodernism - since Burrell and Morgan book. The seminar will be of interest to researchers working in organization and management, but also to others who are interested in gaining awareness of the deeper theoretical assumptions and background traditions associated with their research approach and methodology.</w:t>
            </w:r>
          </w:p>
        </w:tc>
      </w:tr>
    </w:tbl>
    <w:p w:rsidR="003E0747" w:rsidRDefault="003E0747" w:rsidP="003E0747">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3E0747" w:rsidRPr="00326CE5" w:rsidTr="00EC3EA7">
        <w:trPr>
          <w:trHeight w:val="288"/>
        </w:trPr>
        <w:tc>
          <w:tcPr>
            <w:tcW w:w="9229" w:type="dxa"/>
            <w:gridSpan w:val="4"/>
            <w:shd w:val="clear" w:color="auto" w:fill="auto"/>
            <w:noWrap/>
            <w:vAlign w:val="bottom"/>
          </w:tcPr>
          <w:p w:rsidR="003E0747" w:rsidRPr="002D14DE" w:rsidRDefault="003E0747" w:rsidP="00EC3EA7">
            <w:pPr>
              <w:spacing w:after="0" w:line="240" w:lineRule="auto"/>
              <w:rPr>
                <w:rFonts w:ascii="Calibri" w:eastAsia="Times New Roman" w:hAnsi="Calibri" w:cs="Calibri"/>
                <w:b/>
                <w:bCs/>
                <w:color w:val="000000"/>
                <w:sz w:val="20"/>
                <w:szCs w:val="20"/>
                <w:lang w:val="en-US" w:eastAsia="pl-PL"/>
              </w:rPr>
            </w:pPr>
            <w:r w:rsidRPr="002D14DE">
              <w:rPr>
                <w:rFonts w:ascii="Calibri" w:eastAsia="Times New Roman" w:hAnsi="Calibri" w:cs="Calibri"/>
                <w:b/>
                <w:bCs/>
                <w:color w:val="000000"/>
                <w:sz w:val="20"/>
                <w:szCs w:val="20"/>
                <w:lang w:val="en-US" w:eastAsia="pl-PL"/>
              </w:rPr>
              <w:t>Confirmatory Factor Analysis for Comparative Research (part 2)</w:t>
            </w:r>
          </w:p>
        </w:tc>
      </w:tr>
      <w:tr w:rsidR="003E0747" w:rsidRPr="00532D0B" w:rsidTr="00EC3EA7">
        <w:trPr>
          <w:trHeight w:val="288"/>
        </w:trPr>
        <w:tc>
          <w:tcPr>
            <w:tcW w:w="3080" w:type="dxa"/>
            <w:shd w:val="clear" w:color="auto" w:fill="auto"/>
            <w:noWrap/>
            <w:vAlign w:val="bottom"/>
            <w:hideMark/>
          </w:tcPr>
          <w:p w:rsidR="003E0747" w:rsidRDefault="003E0747" w:rsidP="00EC3EA7">
            <w:pPr>
              <w:spacing w:after="0" w:line="240" w:lineRule="auto"/>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Peter Schmidt</w:t>
            </w:r>
          </w:p>
          <w:p w:rsidR="003E0747" w:rsidRPr="00532D0B" w:rsidRDefault="003E0747" w:rsidP="00EC3EA7">
            <w:pPr>
              <w:spacing w:after="0" w:line="240" w:lineRule="auto"/>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 xml:space="preserve">(University of </w:t>
            </w:r>
            <w:proofErr w:type="spellStart"/>
            <w:r w:rsidRPr="00532D0B">
              <w:rPr>
                <w:rFonts w:ascii="Calibri" w:eastAsia="Times New Roman" w:hAnsi="Calibri" w:cs="Calibri"/>
                <w:bCs/>
                <w:color w:val="000000"/>
                <w:sz w:val="20"/>
                <w:szCs w:val="20"/>
                <w:lang w:val="en-US" w:eastAsia="pl-PL"/>
              </w:rPr>
              <w:t>Gießen</w:t>
            </w:r>
            <w:proofErr w:type="spellEnd"/>
            <w:r w:rsidRPr="00532D0B">
              <w:rPr>
                <w:rFonts w:ascii="Calibri" w:eastAsia="Times New Roman" w:hAnsi="Calibri" w:cs="Calibri"/>
                <w:bCs/>
                <w:color w:val="000000"/>
                <w:sz w:val="20"/>
                <w:szCs w:val="20"/>
                <w:lang w:val="en-US" w:eastAsia="pl-PL"/>
              </w:rPr>
              <w:t>)</w:t>
            </w:r>
          </w:p>
        </w:tc>
        <w:tc>
          <w:tcPr>
            <w:tcW w:w="1900" w:type="dxa"/>
            <w:shd w:val="clear" w:color="auto" w:fill="auto"/>
            <w:noWrap/>
            <w:vAlign w:val="bottom"/>
            <w:hideMark/>
          </w:tcPr>
          <w:p w:rsidR="003E0747" w:rsidRPr="00532D0B" w:rsidRDefault="003E0747" w:rsidP="00EC3EA7">
            <w:pPr>
              <w:spacing w:after="0" w:line="240" w:lineRule="auto"/>
              <w:rPr>
                <w:rFonts w:ascii="Calibri" w:eastAsia="Times New Roman" w:hAnsi="Calibri" w:cs="Calibri"/>
                <w:bCs/>
                <w:color w:val="000000"/>
                <w:sz w:val="20"/>
                <w:szCs w:val="20"/>
                <w:lang w:eastAsia="pl-PL"/>
              </w:rPr>
            </w:pPr>
            <w:r>
              <w:rPr>
                <w:rFonts w:ascii="Calibri" w:eastAsia="Times New Roman" w:hAnsi="Calibri" w:cs="Calibri"/>
                <w:bCs/>
                <w:color w:val="000000"/>
                <w:sz w:val="20"/>
                <w:szCs w:val="20"/>
                <w:lang w:eastAsia="pl-PL"/>
              </w:rPr>
              <w:t>10</w:t>
            </w:r>
            <w:r w:rsidRPr="00532D0B">
              <w:rPr>
                <w:rFonts w:ascii="Calibri" w:eastAsia="Times New Roman" w:hAnsi="Calibri" w:cs="Calibri"/>
                <w:bCs/>
                <w:color w:val="000000"/>
                <w:sz w:val="20"/>
                <w:szCs w:val="20"/>
                <w:lang w:eastAsia="pl-PL"/>
              </w:rPr>
              <w:t>.03.2019</w:t>
            </w:r>
          </w:p>
        </w:tc>
        <w:tc>
          <w:tcPr>
            <w:tcW w:w="1720" w:type="dxa"/>
            <w:shd w:val="clear" w:color="auto" w:fill="auto"/>
            <w:noWrap/>
            <w:vAlign w:val="bottom"/>
            <w:hideMark/>
          </w:tcPr>
          <w:p w:rsidR="003E0747" w:rsidRPr="00532D0B" w:rsidRDefault="003E0747" w:rsidP="00EC3EA7">
            <w:pPr>
              <w:spacing w:after="0" w:line="240" w:lineRule="auto"/>
              <w:rPr>
                <w:rFonts w:ascii="Calibri" w:eastAsia="Times New Roman" w:hAnsi="Calibri" w:cs="Calibri"/>
                <w:bCs/>
                <w:color w:val="000000"/>
                <w:sz w:val="20"/>
                <w:szCs w:val="20"/>
                <w:lang w:eastAsia="pl-PL"/>
              </w:rPr>
            </w:pPr>
            <w:r w:rsidRPr="00532D0B">
              <w:rPr>
                <w:rFonts w:ascii="Calibri" w:eastAsia="Times New Roman" w:hAnsi="Calibri" w:cs="Calibri"/>
                <w:bCs/>
                <w:color w:val="000000"/>
                <w:sz w:val="20"/>
                <w:szCs w:val="20"/>
                <w:lang w:eastAsia="pl-PL"/>
              </w:rPr>
              <w:t>11:00-13:00</w:t>
            </w:r>
          </w:p>
        </w:tc>
        <w:tc>
          <w:tcPr>
            <w:tcW w:w="2529" w:type="dxa"/>
            <w:shd w:val="clear" w:color="auto" w:fill="auto"/>
            <w:noWrap/>
            <w:vAlign w:val="bottom"/>
            <w:hideMark/>
          </w:tcPr>
          <w:p w:rsidR="003E0747" w:rsidRPr="00532D0B" w:rsidRDefault="003E0747" w:rsidP="00EC3EA7">
            <w:pPr>
              <w:spacing w:after="0" w:line="240" w:lineRule="auto"/>
              <w:rPr>
                <w:rFonts w:ascii="Calibri" w:eastAsia="Times New Roman" w:hAnsi="Calibri" w:cs="Calibri"/>
                <w:bCs/>
                <w:color w:val="000000"/>
                <w:sz w:val="20"/>
                <w:szCs w:val="20"/>
                <w:lang w:eastAsia="pl-PL"/>
              </w:rPr>
            </w:pPr>
            <w:proofErr w:type="spellStart"/>
            <w:r>
              <w:rPr>
                <w:rFonts w:ascii="Calibri" w:eastAsia="Times New Roman" w:hAnsi="Calibri" w:cs="Calibri"/>
                <w:bCs/>
                <w:color w:val="000000"/>
                <w:sz w:val="20"/>
                <w:szCs w:val="20"/>
                <w:lang w:eastAsia="pl-PL"/>
              </w:rPr>
              <w:t>Sunday</w:t>
            </w:r>
            <w:proofErr w:type="spellEnd"/>
          </w:p>
        </w:tc>
      </w:tr>
      <w:tr w:rsidR="003E0747" w:rsidRPr="00326CE5" w:rsidTr="00EC3EA7">
        <w:trPr>
          <w:trHeight w:val="288"/>
        </w:trPr>
        <w:tc>
          <w:tcPr>
            <w:tcW w:w="9229" w:type="dxa"/>
            <w:gridSpan w:val="4"/>
            <w:shd w:val="clear" w:color="auto" w:fill="auto"/>
            <w:noWrap/>
            <w:vAlign w:val="bottom"/>
          </w:tcPr>
          <w:p w:rsidR="003E0747" w:rsidRPr="00532D0B" w:rsidRDefault="001972CF" w:rsidP="00EC3EA7">
            <w:pPr>
              <w:spacing w:after="0" w:line="240" w:lineRule="auto"/>
              <w:jc w:val="both"/>
              <w:rPr>
                <w:rFonts w:ascii="Calibri" w:eastAsia="Times New Roman" w:hAnsi="Calibri" w:cs="Calibri"/>
                <w:bCs/>
                <w:color w:val="000000"/>
                <w:sz w:val="20"/>
                <w:szCs w:val="20"/>
                <w:lang w:val="en-US" w:eastAsia="pl-PL"/>
              </w:rPr>
            </w:pPr>
            <w:r>
              <w:rPr>
                <w:rFonts w:ascii="Calibri" w:eastAsia="Times New Roman" w:hAnsi="Calibri" w:cs="Calibri"/>
                <w:bCs/>
                <w:color w:val="000000"/>
                <w:sz w:val="20"/>
                <w:szCs w:val="20"/>
                <w:lang w:val="en-US" w:eastAsia="pl-PL"/>
              </w:rPr>
              <w:t>See description for the Part 1.</w:t>
            </w:r>
          </w:p>
        </w:tc>
      </w:tr>
    </w:tbl>
    <w:p w:rsidR="003E0747" w:rsidRDefault="003E0747" w:rsidP="002D14DE">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983919" w:rsidRPr="00326CE5" w:rsidTr="00532D0B">
        <w:trPr>
          <w:trHeight w:val="288"/>
        </w:trPr>
        <w:tc>
          <w:tcPr>
            <w:tcW w:w="9229" w:type="dxa"/>
            <w:gridSpan w:val="4"/>
            <w:shd w:val="clear" w:color="auto" w:fill="auto"/>
            <w:noWrap/>
            <w:vAlign w:val="bottom"/>
          </w:tcPr>
          <w:p w:rsidR="00983919" w:rsidRPr="006B5646" w:rsidRDefault="006B5646" w:rsidP="006B5646">
            <w:pPr>
              <w:spacing w:after="0"/>
              <w:rPr>
                <w:rFonts w:ascii="Calibri" w:hAnsi="Calibri" w:cs="Calibri"/>
                <w:b/>
                <w:bCs/>
                <w:color w:val="000000"/>
                <w:sz w:val="20"/>
                <w:szCs w:val="20"/>
                <w:lang w:val="en-US"/>
              </w:rPr>
            </w:pPr>
            <w:r w:rsidRPr="006B5646">
              <w:rPr>
                <w:rFonts w:ascii="Calibri" w:hAnsi="Calibri" w:cs="Calibri"/>
                <w:b/>
                <w:bCs/>
                <w:color w:val="000000"/>
                <w:sz w:val="20"/>
                <w:szCs w:val="20"/>
                <w:lang w:val="en-US"/>
              </w:rPr>
              <w:t>Learning From Failures. Tricks To Turn A Draft Into A ‘Work Of Art.'</w:t>
            </w:r>
          </w:p>
        </w:tc>
      </w:tr>
      <w:tr w:rsidR="00983919" w:rsidRPr="00983919" w:rsidTr="00532D0B">
        <w:trPr>
          <w:trHeight w:val="288"/>
        </w:trPr>
        <w:tc>
          <w:tcPr>
            <w:tcW w:w="3080" w:type="dxa"/>
            <w:shd w:val="clear" w:color="auto" w:fill="auto"/>
            <w:noWrap/>
            <w:vAlign w:val="bottom"/>
            <w:hideMark/>
          </w:tcPr>
          <w:p w:rsidR="002D14DE" w:rsidRDefault="00983919" w:rsidP="002D14DE">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 xml:space="preserve">Claudio </w:t>
            </w:r>
            <w:proofErr w:type="spellStart"/>
            <w:r w:rsidRPr="00983919">
              <w:rPr>
                <w:rFonts w:ascii="Calibri" w:eastAsia="Times New Roman" w:hAnsi="Calibri" w:cs="Calibri"/>
                <w:bCs/>
                <w:color w:val="000000"/>
                <w:sz w:val="20"/>
                <w:szCs w:val="20"/>
                <w:lang w:eastAsia="pl-PL"/>
              </w:rPr>
              <w:t>Biscaro</w:t>
            </w:r>
            <w:proofErr w:type="spellEnd"/>
          </w:p>
          <w:p w:rsidR="00983919" w:rsidRPr="00983919" w:rsidRDefault="00983919" w:rsidP="002D14DE">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 xml:space="preserve">(WU </w:t>
            </w:r>
            <w:proofErr w:type="spellStart"/>
            <w:r w:rsidRPr="00983919">
              <w:rPr>
                <w:rFonts w:ascii="Calibri" w:eastAsia="Times New Roman" w:hAnsi="Calibri" w:cs="Calibri"/>
                <w:bCs/>
                <w:color w:val="000000"/>
                <w:sz w:val="20"/>
                <w:szCs w:val="20"/>
                <w:lang w:eastAsia="pl-PL"/>
              </w:rPr>
              <w:t>Vienna</w:t>
            </w:r>
            <w:proofErr w:type="spellEnd"/>
            <w:r w:rsidRPr="00983919">
              <w:rPr>
                <w:rFonts w:ascii="Calibri" w:eastAsia="Times New Roman" w:hAnsi="Calibri" w:cs="Calibri"/>
                <w:bCs/>
                <w:color w:val="000000"/>
                <w:sz w:val="20"/>
                <w:szCs w:val="20"/>
                <w:lang w:eastAsia="pl-PL"/>
              </w:rPr>
              <w:t>)</w:t>
            </w:r>
          </w:p>
        </w:tc>
        <w:tc>
          <w:tcPr>
            <w:tcW w:w="1900" w:type="dxa"/>
            <w:shd w:val="clear" w:color="auto" w:fill="auto"/>
            <w:noWrap/>
            <w:vAlign w:val="bottom"/>
            <w:hideMark/>
          </w:tcPr>
          <w:p w:rsidR="00983919" w:rsidRPr="00983919" w:rsidRDefault="00974C09" w:rsidP="002D14DE">
            <w:pPr>
              <w:spacing w:after="0" w:line="240" w:lineRule="auto"/>
              <w:rPr>
                <w:rFonts w:ascii="Calibri" w:eastAsia="Times New Roman" w:hAnsi="Calibri" w:cs="Calibri"/>
                <w:bCs/>
                <w:color w:val="000000"/>
                <w:sz w:val="20"/>
                <w:szCs w:val="20"/>
                <w:lang w:eastAsia="pl-PL"/>
              </w:rPr>
            </w:pPr>
            <w:r>
              <w:rPr>
                <w:rFonts w:ascii="Calibri" w:eastAsia="Times New Roman" w:hAnsi="Calibri" w:cs="Calibri"/>
                <w:bCs/>
                <w:color w:val="000000"/>
                <w:sz w:val="20"/>
                <w:szCs w:val="20"/>
                <w:lang w:eastAsia="pl-PL"/>
              </w:rPr>
              <w:t>1</w:t>
            </w:r>
            <w:r w:rsidR="00983919" w:rsidRPr="00983919">
              <w:rPr>
                <w:rFonts w:ascii="Calibri" w:eastAsia="Times New Roman" w:hAnsi="Calibri" w:cs="Calibri"/>
                <w:bCs/>
                <w:color w:val="000000"/>
                <w:sz w:val="20"/>
                <w:szCs w:val="20"/>
                <w:lang w:eastAsia="pl-PL"/>
              </w:rPr>
              <w:t>3.03.2019</w:t>
            </w:r>
          </w:p>
        </w:tc>
        <w:tc>
          <w:tcPr>
            <w:tcW w:w="1720" w:type="dxa"/>
            <w:shd w:val="clear" w:color="auto" w:fill="auto"/>
            <w:noWrap/>
            <w:vAlign w:val="bottom"/>
            <w:hideMark/>
          </w:tcPr>
          <w:p w:rsidR="00983919" w:rsidRPr="00983919" w:rsidRDefault="00983919" w:rsidP="00974C09">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10:00-1</w:t>
            </w:r>
            <w:r w:rsidR="00974C09">
              <w:rPr>
                <w:rFonts w:ascii="Calibri" w:eastAsia="Times New Roman" w:hAnsi="Calibri" w:cs="Calibri"/>
                <w:bCs/>
                <w:color w:val="000000"/>
                <w:sz w:val="20"/>
                <w:szCs w:val="20"/>
                <w:lang w:eastAsia="pl-PL"/>
              </w:rPr>
              <w:t>1</w:t>
            </w:r>
            <w:r w:rsidRPr="00983919">
              <w:rPr>
                <w:rFonts w:ascii="Calibri" w:eastAsia="Times New Roman" w:hAnsi="Calibri" w:cs="Calibri"/>
                <w:bCs/>
                <w:color w:val="000000"/>
                <w:sz w:val="20"/>
                <w:szCs w:val="20"/>
                <w:lang w:eastAsia="pl-PL"/>
              </w:rPr>
              <w:t>:</w:t>
            </w:r>
            <w:r w:rsidR="00974C09">
              <w:rPr>
                <w:rFonts w:ascii="Calibri" w:eastAsia="Times New Roman" w:hAnsi="Calibri" w:cs="Calibri"/>
                <w:bCs/>
                <w:color w:val="000000"/>
                <w:sz w:val="20"/>
                <w:szCs w:val="20"/>
                <w:lang w:eastAsia="pl-PL"/>
              </w:rPr>
              <w:t>45</w:t>
            </w:r>
          </w:p>
        </w:tc>
        <w:tc>
          <w:tcPr>
            <w:tcW w:w="2529" w:type="dxa"/>
            <w:shd w:val="clear" w:color="auto" w:fill="auto"/>
            <w:noWrap/>
            <w:vAlign w:val="bottom"/>
            <w:hideMark/>
          </w:tcPr>
          <w:p w:rsidR="00983919" w:rsidRPr="00983919" w:rsidRDefault="00974C09" w:rsidP="002D14DE">
            <w:pPr>
              <w:spacing w:after="0" w:line="240" w:lineRule="auto"/>
              <w:rPr>
                <w:rFonts w:ascii="Calibri" w:eastAsia="Times New Roman" w:hAnsi="Calibri" w:cs="Calibri"/>
                <w:bCs/>
                <w:color w:val="000000"/>
                <w:sz w:val="20"/>
                <w:szCs w:val="20"/>
                <w:lang w:eastAsia="pl-PL"/>
              </w:rPr>
            </w:pPr>
            <w:proofErr w:type="spellStart"/>
            <w:r w:rsidRPr="00532D0B">
              <w:rPr>
                <w:rFonts w:ascii="Calibri" w:eastAsia="Times New Roman" w:hAnsi="Calibri" w:cs="Calibri"/>
                <w:bCs/>
                <w:color w:val="000000"/>
                <w:sz w:val="20"/>
                <w:szCs w:val="20"/>
                <w:lang w:eastAsia="pl-PL"/>
              </w:rPr>
              <w:t>Wednesday</w:t>
            </w:r>
            <w:proofErr w:type="spellEnd"/>
          </w:p>
        </w:tc>
      </w:tr>
      <w:tr w:rsidR="00983919" w:rsidRPr="00326CE5" w:rsidTr="00532D0B">
        <w:trPr>
          <w:trHeight w:val="288"/>
        </w:trPr>
        <w:tc>
          <w:tcPr>
            <w:tcW w:w="9229" w:type="dxa"/>
            <w:gridSpan w:val="4"/>
            <w:shd w:val="clear" w:color="auto" w:fill="auto"/>
            <w:noWrap/>
            <w:vAlign w:val="bottom"/>
          </w:tcPr>
          <w:p w:rsidR="002C2A37" w:rsidRPr="002C2A37" w:rsidRDefault="002C2A37" w:rsidP="002C2A37">
            <w:pPr>
              <w:spacing w:after="0" w:line="240" w:lineRule="auto"/>
              <w:jc w:val="both"/>
              <w:rPr>
                <w:rFonts w:ascii="Calibri" w:eastAsia="Times New Roman" w:hAnsi="Calibri" w:cs="Calibri"/>
                <w:bCs/>
                <w:color w:val="000000"/>
                <w:sz w:val="20"/>
                <w:szCs w:val="20"/>
                <w:lang w:val="en-US" w:eastAsia="pl-PL"/>
              </w:rPr>
            </w:pPr>
            <w:r w:rsidRPr="002C2A37">
              <w:rPr>
                <w:rFonts w:ascii="Calibri" w:eastAsia="Times New Roman" w:hAnsi="Calibri" w:cs="Calibri"/>
                <w:bCs/>
                <w:color w:val="000000"/>
                <w:sz w:val="20"/>
                <w:szCs w:val="20"/>
                <w:lang w:val="en-US" w:eastAsia="pl-PL"/>
              </w:rPr>
              <w:t>My goal is to make you reflect on the role of the writer, and how to convey best a message.</w:t>
            </w:r>
            <w:r>
              <w:rPr>
                <w:rFonts w:ascii="Calibri" w:eastAsia="Times New Roman" w:hAnsi="Calibri" w:cs="Calibri"/>
                <w:bCs/>
                <w:color w:val="000000"/>
                <w:sz w:val="20"/>
                <w:szCs w:val="20"/>
                <w:lang w:val="en-US" w:eastAsia="pl-PL"/>
              </w:rPr>
              <w:t xml:space="preserve"> </w:t>
            </w:r>
            <w:r w:rsidRPr="002C2A37">
              <w:rPr>
                <w:rFonts w:ascii="Calibri" w:eastAsia="Times New Roman" w:hAnsi="Calibri" w:cs="Calibri"/>
                <w:bCs/>
                <w:color w:val="000000"/>
                <w:sz w:val="20"/>
                <w:szCs w:val="20"/>
                <w:lang w:val="en-US" w:eastAsia="pl-PL"/>
              </w:rPr>
              <w:t>To do so, I would like you to wear the hat of the reviewer or simply of the reader. After all,</w:t>
            </w:r>
            <w:r>
              <w:rPr>
                <w:rFonts w:ascii="Calibri" w:eastAsia="Times New Roman" w:hAnsi="Calibri" w:cs="Calibri"/>
                <w:bCs/>
                <w:color w:val="000000"/>
                <w:sz w:val="20"/>
                <w:szCs w:val="20"/>
                <w:lang w:val="en-US" w:eastAsia="pl-PL"/>
              </w:rPr>
              <w:t xml:space="preserve"> </w:t>
            </w:r>
            <w:r w:rsidRPr="002C2A37">
              <w:rPr>
                <w:rFonts w:ascii="Calibri" w:eastAsia="Times New Roman" w:hAnsi="Calibri" w:cs="Calibri"/>
                <w:bCs/>
                <w:color w:val="000000"/>
                <w:sz w:val="20"/>
                <w:szCs w:val="20"/>
                <w:lang w:val="en-US" w:eastAsia="pl-PL"/>
              </w:rPr>
              <w:t>the reviewer is not a stubborn and grumpy old man, who unsatisfied with life and wants you</w:t>
            </w:r>
            <w:r>
              <w:rPr>
                <w:rFonts w:ascii="Calibri" w:eastAsia="Times New Roman" w:hAnsi="Calibri" w:cs="Calibri"/>
                <w:bCs/>
                <w:color w:val="000000"/>
                <w:sz w:val="20"/>
                <w:szCs w:val="20"/>
                <w:lang w:val="en-US" w:eastAsia="pl-PL"/>
              </w:rPr>
              <w:t xml:space="preserve"> </w:t>
            </w:r>
            <w:r w:rsidRPr="002C2A37">
              <w:rPr>
                <w:rFonts w:ascii="Calibri" w:eastAsia="Times New Roman" w:hAnsi="Calibri" w:cs="Calibri"/>
                <w:bCs/>
                <w:color w:val="000000"/>
                <w:sz w:val="20"/>
                <w:szCs w:val="20"/>
                <w:lang w:val="en-US" w:eastAsia="pl-PL"/>
              </w:rPr>
              <w:t>to follow his idea.</w:t>
            </w:r>
          </w:p>
          <w:p w:rsidR="002C2A37" w:rsidRPr="002C2A37" w:rsidRDefault="002C2A37" w:rsidP="002C2A37">
            <w:pPr>
              <w:spacing w:after="0" w:line="240" w:lineRule="auto"/>
              <w:jc w:val="both"/>
              <w:rPr>
                <w:rFonts w:ascii="Calibri" w:eastAsia="Times New Roman" w:hAnsi="Calibri" w:cs="Calibri"/>
                <w:bCs/>
                <w:color w:val="000000"/>
                <w:sz w:val="20"/>
                <w:szCs w:val="20"/>
                <w:lang w:val="en-US" w:eastAsia="pl-PL"/>
              </w:rPr>
            </w:pPr>
          </w:p>
          <w:p w:rsidR="00983919" w:rsidRPr="00983919" w:rsidRDefault="002C2A37" w:rsidP="002C2A37">
            <w:pPr>
              <w:spacing w:after="0" w:line="240" w:lineRule="auto"/>
              <w:jc w:val="both"/>
              <w:rPr>
                <w:rFonts w:ascii="Calibri" w:eastAsia="Times New Roman" w:hAnsi="Calibri" w:cs="Calibri"/>
                <w:bCs/>
                <w:color w:val="000000"/>
                <w:sz w:val="20"/>
                <w:szCs w:val="20"/>
                <w:lang w:val="en-US" w:eastAsia="pl-PL"/>
              </w:rPr>
            </w:pPr>
            <w:r w:rsidRPr="002C2A37">
              <w:rPr>
                <w:rFonts w:ascii="Calibri" w:eastAsia="Times New Roman" w:hAnsi="Calibri" w:cs="Calibri"/>
                <w:bCs/>
                <w:color w:val="000000"/>
                <w:sz w:val="20"/>
                <w:szCs w:val="20"/>
                <w:lang w:val="en-US" w:eastAsia="pl-PL"/>
              </w:rPr>
              <w:t>More usually, the reviewer is just a reader, who has accepted to dedicate her time on</w:t>
            </w:r>
            <w:r>
              <w:rPr>
                <w:rFonts w:ascii="Calibri" w:eastAsia="Times New Roman" w:hAnsi="Calibri" w:cs="Calibri"/>
                <w:bCs/>
                <w:color w:val="000000"/>
                <w:sz w:val="20"/>
                <w:szCs w:val="20"/>
                <w:lang w:val="en-US" w:eastAsia="pl-PL"/>
              </w:rPr>
              <w:t xml:space="preserve"> </w:t>
            </w:r>
            <w:r w:rsidRPr="002C2A37">
              <w:rPr>
                <w:rFonts w:ascii="Calibri" w:eastAsia="Times New Roman" w:hAnsi="Calibri" w:cs="Calibri"/>
                <w:bCs/>
                <w:color w:val="000000"/>
                <w:sz w:val="20"/>
                <w:szCs w:val="20"/>
                <w:lang w:val="en-US" w:eastAsia="pl-PL"/>
              </w:rPr>
              <w:t>someone’s manuscript, and is eager to learn something new. Therefore, she is unhappy when</w:t>
            </w:r>
            <w:r>
              <w:rPr>
                <w:rFonts w:ascii="Calibri" w:eastAsia="Times New Roman" w:hAnsi="Calibri" w:cs="Calibri"/>
                <w:bCs/>
                <w:color w:val="000000"/>
                <w:sz w:val="20"/>
                <w:szCs w:val="20"/>
                <w:lang w:val="en-US" w:eastAsia="pl-PL"/>
              </w:rPr>
              <w:t xml:space="preserve"> </w:t>
            </w:r>
            <w:r w:rsidRPr="002C2A37">
              <w:rPr>
                <w:rFonts w:ascii="Calibri" w:eastAsia="Times New Roman" w:hAnsi="Calibri" w:cs="Calibri"/>
                <w:bCs/>
                <w:color w:val="000000"/>
                <w:sz w:val="20"/>
                <w:szCs w:val="20"/>
                <w:lang w:val="en-US" w:eastAsia="pl-PL"/>
              </w:rPr>
              <w:t>she receives a reading that is not convincing or up to her standards.</w:t>
            </w:r>
            <w:r>
              <w:rPr>
                <w:rFonts w:ascii="Calibri" w:eastAsia="Times New Roman" w:hAnsi="Calibri" w:cs="Calibri"/>
                <w:bCs/>
                <w:color w:val="000000"/>
                <w:sz w:val="20"/>
                <w:szCs w:val="20"/>
                <w:lang w:val="en-US" w:eastAsia="pl-PL"/>
              </w:rPr>
              <w:t xml:space="preserve"> </w:t>
            </w:r>
            <w:r w:rsidRPr="002C2A37">
              <w:rPr>
                <w:rFonts w:ascii="Calibri" w:eastAsia="Times New Roman" w:hAnsi="Calibri" w:cs="Calibri"/>
                <w:bCs/>
                <w:color w:val="000000"/>
                <w:sz w:val="20"/>
                <w:szCs w:val="20"/>
                <w:lang w:val="en-US" w:eastAsia="pl-PL"/>
              </w:rPr>
              <w:t>Probably, the reviewer is just someone like you… who happens to know a bit (or a lot) of</w:t>
            </w:r>
            <w:r>
              <w:rPr>
                <w:rFonts w:ascii="Calibri" w:eastAsia="Times New Roman" w:hAnsi="Calibri" w:cs="Calibri"/>
                <w:bCs/>
                <w:color w:val="000000"/>
                <w:sz w:val="20"/>
                <w:szCs w:val="20"/>
                <w:lang w:val="en-US" w:eastAsia="pl-PL"/>
              </w:rPr>
              <w:t xml:space="preserve"> </w:t>
            </w:r>
            <w:r w:rsidRPr="002C2A37">
              <w:rPr>
                <w:rFonts w:ascii="Calibri" w:eastAsia="Times New Roman" w:hAnsi="Calibri" w:cs="Calibri"/>
                <w:bCs/>
                <w:color w:val="000000"/>
                <w:sz w:val="20"/>
                <w:szCs w:val="20"/>
                <w:lang w:val="en-US" w:eastAsia="pl-PL"/>
              </w:rPr>
              <w:t>what you are about to tell him.</w:t>
            </w:r>
          </w:p>
        </w:tc>
      </w:tr>
    </w:tbl>
    <w:p w:rsidR="00983919" w:rsidRDefault="00983919">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974C09" w:rsidRPr="00983919" w:rsidTr="00721BBC">
        <w:trPr>
          <w:trHeight w:val="288"/>
        </w:trPr>
        <w:tc>
          <w:tcPr>
            <w:tcW w:w="9229" w:type="dxa"/>
            <w:gridSpan w:val="4"/>
            <w:shd w:val="clear" w:color="auto" w:fill="auto"/>
            <w:noWrap/>
            <w:vAlign w:val="bottom"/>
          </w:tcPr>
          <w:p w:rsidR="00974C09" w:rsidRPr="002D14DE" w:rsidRDefault="00974C09" w:rsidP="00721BBC">
            <w:pPr>
              <w:spacing w:after="0" w:line="240" w:lineRule="auto"/>
              <w:rPr>
                <w:rFonts w:ascii="Calibri" w:eastAsia="Times New Roman" w:hAnsi="Calibri" w:cs="Calibri"/>
                <w:b/>
                <w:bCs/>
                <w:color w:val="000000"/>
                <w:sz w:val="20"/>
                <w:szCs w:val="20"/>
                <w:lang w:eastAsia="pl-PL"/>
              </w:rPr>
            </w:pPr>
            <w:r w:rsidRPr="002D14DE">
              <w:rPr>
                <w:rFonts w:ascii="Calibri" w:eastAsia="Times New Roman" w:hAnsi="Calibri" w:cs="Calibri"/>
                <w:b/>
                <w:bCs/>
                <w:color w:val="000000"/>
                <w:sz w:val="20"/>
                <w:szCs w:val="20"/>
                <w:lang w:eastAsia="pl-PL"/>
              </w:rPr>
              <w:t>Meta-Analysis Part I</w:t>
            </w:r>
          </w:p>
        </w:tc>
      </w:tr>
      <w:tr w:rsidR="00974C09" w:rsidRPr="00983919" w:rsidTr="00721BBC">
        <w:trPr>
          <w:trHeight w:val="288"/>
        </w:trPr>
        <w:tc>
          <w:tcPr>
            <w:tcW w:w="3080" w:type="dxa"/>
            <w:shd w:val="clear" w:color="auto" w:fill="auto"/>
            <w:noWrap/>
            <w:vAlign w:val="bottom"/>
            <w:hideMark/>
          </w:tcPr>
          <w:p w:rsidR="00974C09" w:rsidRDefault="00974C09" w:rsidP="00721BBC">
            <w:pPr>
              <w:spacing w:after="0" w:line="240" w:lineRule="auto"/>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Marc </w:t>
            </w:r>
            <w:proofErr w:type="spellStart"/>
            <w:r w:rsidRPr="00983919">
              <w:rPr>
                <w:rFonts w:ascii="Calibri" w:eastAsia="Times New Roman" w:hAnsi="Calibri" w:cs="Calibri"/>
                <w:bCs/>
                <w:color w:val="000000"/>
                <w:sz w:val="20"/>
                <w:szCs w:val="20"/>
                <w:lang w:val="en-US" w:eastAsia="pl-PL"/>
              </w:rPr>
              <w:t>Orlitzky</w:t>
            </w:r>
            <w:proofErr w:type="spellEnd"/>
          </w:p>
          <w:p w:rsidR="00974C09" w:rsidRPr="00983919" w:rsidRDefault="00974C09" w:rsidP="00721BBC">
            <w:pPr>
              <w:spacing w:after="0" w:line="240" w:lineRule="auto"/>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(University of South Australia)</w:t>
            </w:r>
          </w:p>
        </w:tc>
        <w:tc>
          <w:tcPr>
            <w:tcW w:w="1900" w:type="dxa"/>
            <w:shd w:val="clear" w:color="auto" w:fill="auto"/>
            <w:noWrap/>
            <w:vAlign w:val="bottom"/>
            <w:hideMark/>
          </w:tcPr>
          <w:p w:rsidR="00974C09" w:rsidRPr="00983919" w:rsidRDefault="00974C09" w:rsidP="00721BBC">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13.03.2019</w:t>
            </w:r>
          </w:p>
        </w:tc>
        <w:tc>
          <w:tcPr>
            <w:tcW w:w="1720" w:type="dxa"/>
            <w:shd w:val="clear" w:color="auto" w:fill="auto"/>
            <w:noWrap/>
            <w:vAlign w:val="bottom"/>
            <w:hideMark/>
          </w:tcPr>
          <w:p w:rsidR="00974C09" w:rsidRPr="00983919" w:rsidRDefault="00974C09" w:rsidP="00721BBC">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12:00-13:30</w:t>
            </w:r>
          </w:p>
        </w:tc>
        <w:tc>
          <w:tcPr>
            <w:tcW w:w="2529" w:type="dxa"/>
            <w:shd w:val="clear" w:color="auto" w:fill="auto"/>
            <w:noWrap/>
            <w:vAlign w:val="bottom"/>
            <w:hideMark/>
          </w:tcPr>
          <w:p w:rsidR="00974C09" w:rsidRPr="00983919" w:rsidRDefault="00974C09" w:rsidP="00721BBC">
            <w:pPr>
              <w:spacing w:after="0" w:line="240" w:lineRule="auto"/>
              <w:rPr>
                <w:rFonts w:ascii="Calibri" w:eastAsia="Times New Roman" w:hAnsi="Calibri" w:cs="Calibri"/>
                <w:bCs/>
                <w:color w:val="000000"/>
                <w:sz w:val="20"/>
                <w:szCs w:val="20"/>
                <w:lang w:eastAsia="pl-PL"/>
              </w:rPr>
            </w:pPr>
            <w:proofErr w:type="spellStart"/>
            <w:r w:rsidRPr="00532D0B">
              <w:rPr>
                <w:rFonts w:ascii="Calibri" w:eastAsia="Times New Roman" w:hAnsi="Calibri" w:cs="Calibri"/>
                <w:bCs/>
                <w:color w:val="000000"/>
                <w:sz w:val="20"/>
                <w:szCs w:val="20"/>
                <w:lang w:eastAsia="pl-PL"/>
              </w:rPr>
              <w:t>Wednesday</w:t>
            </w:r>
            <w:proofErr w:type="spellEnd"/>
          </w:p>
        </w:tc>
      </w:tr>
      <w:tr w:rsidR="00974C09" w:rsidRPr="00326CE5" w:rsidTr="00721BBC">
        <w:trPr>
          <w:trHeight w:val="288"/>
        </w:trPr>
        <w:tc>
          <w:tcPr>
            <w:tcW w:w="9229" w:type="dxa"/>
            <w:gridSpan w:val="4"/>
            <w:shd w:val="clear" w:color="auto" w:fill="auto"/>
            <w:noWrap/>
            <w:vAlign w:val="bottom"/>
          </w:tcPr>
          <w:p w:rsidR="00974C09" w:rsidRPr="00983919" w:rsidRDefault="00974C09" w:rsidP="00721BBC">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Part I of the seminar provides an overview of the meta-analytic research process, focusing on problem formulation, literature search, and meta-analytic data collection/coding.  Part I discusses several widespread myths and urban legends about meta-analysis and, more specifically, reviews the criteria used to evaluate the quality of primary studies (the raw data in meta-analysis).  At the conclusion of Part I, I will ask seminar participants to apply the first four steps of meta-analysis to your own area, which will then be discussed in Part </w:t>
            </w:r>
            <w:r w:rsidRPr="00983919">
              <w:rPr>
                <w:rFonts w:ascii="Calibri" w:eastAsia="Times New Roman" w:hAnsi="Calibri" w:cs="Calibri"/>
                <w:bCs/>
                <w:color w:val="000000"/>
                <w:sz w:val="20"/>
                <w:szCs w:val="20"/>
                <w:lang w:val="en-US" w:eastAsia="pl-PL"/>
              </w:rPr>
              <w:lastRenderedPageBreak/>
              <w:t xml:space="preserve">II. </w:t>
            </w:r>
          </w:p>
        </w:tc>
      </w:tr>
      <w:tr w:rsidR="004B0C4A" w:rsidRPr="00326CE5" w:rsidTr="00721BBC">
        <w:trPr>
          <w:trHeight w:val="288"/>
        </w:trPr>
        <w:tc>
          <w:tcPr>
            <w:tcW w:w="9229" w:type="dxa"/>
            <w:gridSpan w:val="4"/>
            <w:shd w:val="clear" w:color="auto" w:fill="auto"/>
            <w:noWrap/>
            <w:vAlign w:val="bottom"/>
          </w:tcPr>
          <w:p w:rsidR="004B0C4A" w:rsidRPr="004B0C4A" w:rsidRDefault="004B0C4A" w:rsidP="004B0C4A">
            <w:pPr>
              <w:spacing w:after="0" w:line="240" w:lineRule="auto"/>
              <w:rPr>
                <w:lang w:val="en-US"/>
              </w:rPr>
            </w:pPr>
            <w:r w:rsidRPr="009F27E8">
              <w:rPr>
                <w:rFonts w:ascii="Calibri" w:eastAsia="Times New Roman" w:hAnsi="Calibri" w:cs="Calibri"/>
                <w:b/>
                <w:bCs/>
                <w:color w:val="000000"/>
                <w:sz w:val="20"/>
                <w:szCs w:val="20"/>
                <w:lang w:val="en-US" w:eastAsia="pl-PL"/>
              </w:rPr>
              <w:lastRenderedPageBreak/>
              <w:t>Recommended reading:</w:t>
            </w:r>
            <w:r w:rsidRPr="004B0C4A">
              <w:rPr>
                <w:rFonts w:ascii="Calibri" w:eastAsia="Times New Roman" w:hAnsi="Calibri" w:cs="Calibri"/>
                <w:bCs/>
                <w:color w:val="000000"/>
                <w:sz w:val="20"/>
                <w:szCs w:val="20"/>
                <w:lang w:val="en-US" w:eastAsia="pl-PL"/>
              </w:rPr>
              <w:t xml:space="preserve"> </w:t>
            </w:r>
            <w:r w:rsidRPr="004B0C4A">
              <w:rPr>
                <w:lang w:val="en-US"/>
              </w:rPr>
              <w:t xml:space="preserve">Eden, D. (2002). Replication, meta-analysis, scientific progress, and </w:t>
            </w:r>
            <w:r w:rsidRPr="004B0C4A">
              <w:rPr>
                <w:i/>
                <w:iCs/>
                <w:lang w:val="en-US"/>
              </w:rPr>
              <w:t>AMJ'</w:t>
            </w:r>
            <w:r w:rsidRPr="004B0C4A">
              <w:rPr>
                <w:lang w:val="en-US"/>
              </w:rPr>
              <w:t xml:space="preserve">s publication policy. </w:t>
            </w:r>
            <w:r w:rsidRPr="004B0C4A">
              <w:rPr>
                <w:i/>
                <w:iCs/>
                <w:lang w:val="en-US"/>
              </w:rPr>
              <w:t>Academy of Management Journal, 45</w:t>
            </w:r>
            <w:r w:rsidRPr="004B0C4A">
              <w:rPr>
                <w:lang w:val="en-US"/>
              </w:rPr>
              <w:t xml:space="preserve">(5), 841-846. </w:t>
            </w:r>
          </w:p>
          <w:p w:rsidR="004B0C4A" w:rsidRPr="004B0C4A" w:rsidRDefault="004B0C4A" w:rsidP="004B0C4A">
            <w:pPr>
              <w:spacing w:after="0" w:line="240" w:lineRule="auto"/>
              <w:rPr>
                <w:rFonts w:eastAsiaTheme="minorEastAsia"/>
                <w:lang w:val="en-US"/>
              </w:rPr>
            </w:pPr>
            <w:proofErr w:type="spellStart"/>
            <w:r w:rsidRPr="004B0C4A">
              <w:rPr>
                <w:rFonts w:eastAsiaTheme="minorEastAsia"/>
                <w:lang w:val="en-US"/>
              </w:rPr>
              <w:t>Aguinis</w:t>
            </w:r>
            <w:proofErr w:type="spellEnd"/>
            <w:r w:rsidRPr="004B0C4A">
              <w:rPr>
                <w:rFonts w:eastAsiaTheme="minorEastAsia"/>
                <w:lang w:val="en-US"/>
              </w:rPr>
              <w:t xml:space="preserve">, H., Pierce, C. A., Bosco, F. A., Dalton, D. R., &amp; Dalton, C. M. (2011). Debunking myths and urban legends about meta-analysis. </w:t>
            </w:r>
            <w:r w:rsidRPr="004B0C4A">
              <w:rPr>
                <w:rFonts w:eastAsiaTheme="minorEastAsia"/>
                <w:i/>
                <w:iCs/>
                <w:lang w:val="en-US"/>
              </w:rPr>
              <w:t>Organizational Research Methods, 14</w:t>
            </w:r>
            <w:r w:rsidRPr="004B0C4A">
              <w:rPr>
                <w:rFonts w:eastAsiaTheme="minorEastAsia"/>
                <w:lang w:val="en-US"/>
              </w:rPr>
              <w:t xml:space="preserve">(2), 306-331. </w:t>
            </w:r>
          </w:p>
        </w:tc>
      </w:tr>
    </w:tbl>
    <w:p w:rsidR="00983919" w:rsidRDefault="00983919">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6B5646" w:rsidRPr="00326CE5" w:rsidTr="00D355A3">
        <w:trPr>
          <w:trHeight w:val="288"/>
        </w:trPr>
        <w:tc>
          <w:tcPr>
            <w:tcW w:w="9229" w:type="dxa"/>
            <w:gridSpan w:val="4"/>
            <w:shd w:val="clear" w:color="auto" w:fill="auto"/>
            <w:noWrap/>
            <w:vAlign w:val="bottom"/>
          </w:tcPr>
          <w:p w:rsidR="006B5646" w:rsidRPr="006B5646" w:rsidRDefault="006B5646" w:rsidP="006B5646">
            <w:pPr>
              <w:spacing w:after="0" w:line="240" w:lineRule="auto"/>
              <w:rPr>
                <w:rFonts w:ascii="Calibri" w:hAnsi="Calibri" w:cs="Calibri"/>
                <w:b/>
                <w:bCs/>
                <w:color w:val="000000"/>
                <w:sz w:val="20"/>
                <w:szCs w:val="20"/>
                <w:lang w:val="en-US"/>
              </w:rPr>
            </w:pPr>
            <w:r w:rsidRPr="006B5646">
              <w:rPr>
                <w:rFonts w:ascii="Calibri" w:hAnsi="Calibri" w:cs="Calibri"/>
                <w:b/>
                <w:bCs/>
                <w:color w:val="000000"/>
                <w:sz w:val="20"/>
                <w:szCs w:val="20"/>
                <w:lang w:val="en-US"/>
              </w:rPr>
              <w:t>Turning Quotes Into Maps. Augmenting Rigor and Clarity Of Qualitative</w:t>
            </w:r>
            <w:r>
              <w:rPr>
                <w:rFonts w:ascii="Calibri" w:hAnsi="Calibri" w:cs="Calibri"/>
                <w:b/>
                <w:bCs/>
                <w:color w:val="000000"/>
                <w:sz w:val="20"/>
                <w:szCs w:val="20"/>
                <w:lang w:val="en-US"/>
              </w:rPr>
              <w:t xml:space="preserve"> </w:t>
            </w:r>
            <w:r w:rsidRPr="006B5646">
              <w:rPr>
                <w:rFonts w:ascii="Calibri" w:hAnsi="Calibri" w:cs="Calibri"/>
                <w:b/>
                <w:bCs/>
                <w:color w:val="000000"/>
                <w:sz w:val="20"/>
                <w:szCs w:val="20"/>
                <w:lang w:val="en-US"/>
              </w:rPr>
              <w:t>Data.</w:t>
            </w:r>
          </w:p>
        </w:tc>
      </w:tr>
      <w:tr w:rsidR="006B5646" w:rsidRPr="00983919" w:rsidTr="00D355A3">
        <w:trPr>
          <w:trHeight w:val="288"/>
        </w:trPr>
        <w:tc>
          <w:tcPr>
            <w:tcW w:w="3080" w:type="dxa"/>
            <w:shd w:val="clear" w:color="auto" w:fill="auto"/>
            <w:noWrap/>
            <w:vAlign w:val="bottom"/>
            <w:hideMark/>
          </w:tcPr>
          <w:p w:rsidR="002C2A37" w:rsidRDefault="002C2A37" w:rsidP="002C2A37">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 xml:space="preserve">Claudio </w:t>
            </w:r>
            <w:proofErr w:type="spellStart"/>
            <w:r w:rsidRPr="00983919">
              <w:rPr>
                <w:rFonts w:ascii="Calibri" w:eastAsia="Times New Roman" w:hAnsi="Calibri" w:cs="Calibri"/>
                <w:bCs/>
                <w:color w:val="000000"/>
                <w:sz w:val="20"/>
                <w:szCs w:val="20"/>
                <w:lang w:eastAsia="pl-PL"/>
              </w:rPr>
              <w:t>Biscaro</w:t>
            </w:r>
            <w:proofErr w:type="spellEnd"/>
          </w:p>
          <w:p w:rsidR="006B5646" w:rsidRPr="00983919" w:rsidRDefault="002C2A37" w:rsidP="002C2A37">
            <w:pPr>
              <w:spacing w:after="0" w:line="240" w:lineRule="auto"/>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eastAsia="pl-PL"/>
              </w:rPr>
              <w:t xml:space="preserve">(WU </w:t>
            </w:r>
            <w:proofErr w:type="spellStart"/>
            <w:r w:rsidRPr="00983919">
              <w:rPr>
                <w:rFonts w:ascii="Calibri" w:eastAsia="Times New Roman" w:hAnsi="Calibri" w:cs="Calibri"/>
                <w:bCs/>
                <w:color w:val="000000"/>
                <w:sz w:val="20"/>
                <w:szCs w:val="20"/>
                <w:lang w:eastAsia="pl-PL"/>
              </w:rPr>
              <w:t>Vienna</w:t>
            </w:r>
            <w:proofErr w:type="spellEnd"/>
            <w:r w:rsidRPr="00983919">
              <w:rPr>
                <w:rFonts w:ascii="Calibri" w:eastAsia="Times New Roman" w:hAnsi="Calibri" w:cs="Calibri"/>
                <w:bCs/>
                <w:color w:val="000000"/>
                <w:sz w:val="20"/>
                <w:szCs w:val="20"/>
                <w:lang w:eastAsia="pl-PL"/>
              </w:rPr>
              <w:t>)</w:t>
            </w:r>
          </w:p>
        </w:tc>
        <w:tc>
          <w:tcPr>
            <w:tcW w:w="1900" w:type="dxa"/>
            <w:shd w:val="clear" w:color="auto" w:fill="auto"/>
            <w:noWrap/>
            <w:vAlign w:val="bottom"/>
            <w:hideMark/>
          </w:tcPr>
          <w:p w:rsidR="006B5646" w:rsidRPr="00983919" w:rsidRDefault="006B5646" w:rsidP="00D355A3">
            <w:pPr>
              <w:spacing w:after="0" w:line="240" w:lineRule="auto"/>
              <w:rPr>
                <w:rFonts w:ascii="Calibri" w:eastAsia="Times New Roman" w:hAnsi="Calibri" w:cs="Calibri"/>
                <w:bCs/>
                <w:color w:val="000000"/>
                <w:sz w:val="20"/>
                <w:szCs w:val="20"/>
                <w:lang w:eastAsia="pl-PL"/>
              </w:rPr>
            </w:pPr>
            <w:r>
              <w:rPr>
                <w:rFonts w:ascii="Calibri" w:eastAsia="Times New Roman" w:hAnsi="Calibri" w:cs="Calibri"/>
                <w:bCs/>
                <w:color w:val="000000"/>
                <w:sz w:val="20"/>
                <w:szCs w:val="20"/>
                <w:lang w:eastAsia="pl-PL"/>
              </w:rPr>
              <w:t>2</w:t>
            </w:r>
            <w:r w:rsidRPr="00983919">
              <w:rPr>
                <w:rFonts w:ascii="Calibri" w:eastAsia="Times New Roman" w:hAnsi="Calibri" w:cs="Calibri"/>
                <w:bCs/>
                <w:color w:val="000000"/>
                <w:sz w:val="20"/>
                <w:szCs w:val="20"/>
                <w:lang w:eastAsia="pl-PL"/>
              </w:rPr>
              <w:t>3.03.2019</w:t>
            </w:r>
          </w:p>
        </w:tc>
        <w:tc>
          <w:tcPr>
            <w:tcW w:w="1720" w:type="dxa"/>
            <w:shd w:val="clear" w:color="auto" w:fill="auto"/>
            <w:noWrap/>
            <w:vAlign w:val="bottom"/>
            <w:hideMark/>
          </w:tcPr>
          <w:p w:rsidR="006B5646" w:rsidRPr="00983919" w:rsidRDefault="006B5646" w:rsidP="006B5646">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1</w:t>
            </w:r>
            <w:r>
              <w:rPr>
                <w:rFonts w:ascii="Calibri" w:eastAsia="Times New Roman" w:hAnsi="Calibri" w:cs="Calibri"/>
                <w:bCs/>
                <w:color w:val="000000"/>
                <w:sz w:val="20"/>
                <w:szCs w:val="20"/>
                <w:lang w:eastAsia="pl-PL"/>
              </w:rPr>
              <w:t>0:00-12</w:t>
            </w:r>
            <w:r w:rsidRPr="00983919">
              <w:rPr>
                <w:rFonts w:ascii="Calibri" w:eastAsia="Times New Roman" w:hAnsi="Calibri" w:cs="Calibri"/>
                <w:bCs/>
                <w:color w:val="000000"/>
                <w:sz w:val="20"/>
                <w:szCs w:val="20"/>
                <w:lang w:eastAsia="pl-PL"/>
              </w:rPr>
              <w:t>:30</w:t>
            </w:r>
          </w:p>
        </w:tc>
        <w:tc>
          <w:tcPr>
            <w:tcW w:w="2529" w:type="dxa"/>
            <w:shd w:val="clear" w:color="auto" w:fill="auto"/>
            <w:noWrap/>
            <w:vAlign w:val="bottom"/>
            <w:hideMark/>
          </w:tcPr>
          <w:p w:rsidR="006B5646" w:rsidRPr="00983919" w:rsidRDefault="006B5646" w:rsidP="00D355A3">
            <w:pPr>
              <w:spacing w:after="0" w:line="240" w:lineRule="auto"/>
              <w:rPr>
                <w:rFonts w:ascii="Calibri" w:eastAsia="Times New Roman" w:hAnsi="Calibri" w:cs="Calibri"/>
                <w:bCs/>
                <w:color w:val="000000"/>
                <w:sz w:val="20"/>
                <w:szCs w:val="20"/>
                <w:lang w:eastAsia="pl-PL"/>
              </w:rPr>
            </w:pPr>
            <w:proofErr w:type="spellStart"/>
            <w:r>
              <w:rPr>
                <w:rFonts w:ascii="Calibri" w:eastAsia="Times New Roman" w:hAnsi="Calibri" w:cs="Calibri"/>
                <w:bCs/>
                <w:color w:val="000000"/>
                <w:sz w:val="20"/>
                <w:szCs w:val="20"/>
                <w:lang w:eastAsia="pl-PL"/>
              </w:rPr>
              <w:t>Saturday</w:t>
            </w:r>
            <w:proofErr w:type="spellEnd"/>
          </w:p>
        </w:tc>
      </w:tr>
      <w:tr w:rsidR="006B5646" w:rsidRPr="00326CE5" w:rsidTr="00D355A3">
        <w:trPr>
          <w:trHeight w:val="288"/>
        </w:trPr>
        <w:tc>
          <w:tcPr>
            <w:tcW w:w="9229" w:type="dxa"/>
            <w:gridSpan w:val="4"/>
            <w:shd w:val="clear" w:color="auto" w:fill="auto"/>
            <w:noWrap/>
            <w:vAlign w:val="bottom"/>
          </w:tcPr>
          <w:p w:rsidR="006B5646" w:rsidRPr="00983919" w:rsidRDefault="002C2A37" w:rsidP="00D355A3">
            <w:pPr>
              <w:spacing w:after="0" w:line="240" w:lineRule="auto"/>
              <w:jc w:val="both"/>
              <w:rPr>
                <w:rFonts w:ascii="Calibri" w:eastAsia="Times New Roman" w:hAnsi="Calibri" w:cs="Calibri"/>
                <w:bCs/>
                <w:color w:val="000000"/>
                <w:sz w:val="20"/>
                <w:szCs w:val="20"/>
                <w:lang w:val="en-US" w:eastAsia="pl-PL"/>
              </w:rPr>
            </w:pPr>
            <w:r>
              <w:rPr>
                <w:rFonts w:ascii="Calibri" w:eastAsia="Times New Roman" w:hAnsi="Calibri" w:cs="Calibri"/>
                <w:bCs/>
                <w:color w:val="000000"/>
                <w:sz w:val="20"/>
                <w:szCs w:val="20"/>
                <w:lang w:val="en-US" w:eastAsia="pl-PL"/>
              </w:rPr>
              <w:t>Abstract to be provided at the later date.</w:t>
            </w:r>
          </w:p>
        </w:tc>
      </w:tr>
    </w:tbl>
    <w:p w:rsidR="006B5646" w:rsidRDefault="006B5646">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4B0C4A" w:rsidRPr="00983919" w:rsidTr="008C03B1">
        <w:trPr>
          <w:trHeight w:val="288"/>
        </w:trPr>
        <w:tc>
          <w:tcPr>
            <w:tcW w:w="9229" w:type="dxa"/>
            <w:gridSpan w:val="4"/>
            <w:shd w:val="clear" w:color="auto" w:fill="auto"/>
            <w:noWrap/>
            <w:vAlign w:val="bottom"/>
          </w:tcPr>
          <w:p w:rsidR="004B0C4A" w:rsidRPr="002D14DE" w:rsidRDefault="004B0C4A" w:rsidP="008C03B1">
            <w:pPr>
              <w:spacing w:after="0" w:line="240" w:lineRule="auto"/>
              <w:rPr>
                <w:rFonts w:ascii="Calibri" w:eastAsia="Times New Roman" w:hAnsi="Calibri" w:cs="Calibri"/>
                <w:b/>
                <w:bCs/>
                <w:color w:val="000000"/>
                <w:sz w:val="20"/>
                <w:szCs w:val="20"/>
                <w:lang w:eastAsia="pl-PL"/>
              </w:rPr>
            </w:pPr>
            <w:r w:rsidRPr="002D14DE">
              <w:rPr>
                <w:rFonts w:ascii="Calibri" w:eastAsia="Times New Roman" w:hAnsi="Calibri" w:cs="Calibri"/>
                <w:b/>
                <w:bCs/>
                <w:color w:val="000000"/>
                <w:sz w:val="20"/>
                <w:szCs w:val="20"/>
                <w:lang w:eastAsia="pl-PL"/>
              </w:rPr>
              <w:t>Meta-Analysis Part II</w:t>
            </w:r>
          </w:p>
        </w:tc>
      </w:tr>
      <w:tr w:rsidR="004B0C4A" w:rsidRPr="00983919" w:rsidTr="008C03B1">
        <w:trPr>
          <w:trHeight w:val="288"/>
        </w:trPr>
        <w:tc>
          <w:tcPr>
            <w:tcW w:w="3080" w:type="dxa"/>
            <w:shd w:val="clear" w:color="auto" w:fill="auto"/>
            <w:noWrap/>
            <w:vAlign w:val="bottom"/>
            <w:hideMark/>
          </w:tcPr>
          <w:p w:rsidR="004B0C4A" w:rsidRDefault="004B0C4A" w:rsidP="008C03B1">
            <w:pPr>
              <w:spacing w:after="0" w:line="240" w:lineRule="auto"/>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Marc </w:t>
            </w:r>
            <w:proofErr w:type="spellStart"/>
            <w:r w:rsidRPr="00983919">
              <w:rPr>
                <w:rFonts w:ascii="Calibri" w:eastAsia="Times New Roman" w:hAnsi="Calibri" w:cs="Calibri"/>
                <w:bCs/>
                <w:color w:val="000000"/>
                <w:sz w:val="20"/>
                <w:szCs w:val="20"/>
                <w:lang w:val="en-US" w:eastAsia="pl-PL"/>
              </w:rPr>
              <w:t>Orlitzky</w:t>
            </w:r>
            <w:proofErr w:type="spellEnd"/>
          </w:p>
          <w:p w:rsidR="004B0C4A" w:rsidRPr="00983919" w:rsidRDefault="004B0C4A" w:rsidP="008C03B1">
            <w:pPr>
              <w:spacing w:after="0" w:line="240" w:lineRule="auto"/>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(University of South Australia)</w:t>
            </w:r>
          </w:p>
        </w:tc>
        <w:tc>
          <w:tcPr>
            <w:tcW w:w="1900" w:type="dxa"/>
            <w:shd w:val="clear" w:color="auto" w:fill="auto"/>
            <w:noWrap/>
            <w:vAlign w:val="bottom"/>
            <w:hideMark/>
          </w:tcPr>
          <w:p w:rsidR="004B0C4A" w:rsidRPr="00983919" w:rsidRDefault="004B0C4A" w:rsidP="008C03B1">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03.04.2019</w:t>
            </w:r>
          </w:p>
        </w:tc>
        <w:tc>
          <w:tcPr>
            <w:tcW w:w="1720" w:type="dxa"/>
            <w:shd w:val="clear" w:color="auto" w:fill="auto"/>
            <w:noWrap/>
            <w:vAlign w:val="bottom"/>
            <w:hideMark/>
          </w:tcPr>
          <w:p w:rsidR="004B0C4A" w:rsidRPr="00983919" w:rsidRDefault="004B0C4A" w:rsidP="008C03B1">
            <w:pPr>
              <w:spacing w:after="0" w:line="240" w:lineRule="auto"/>
              <w:rPr>
                <w:rFonts w:ascii="Calibri" w:eastAsia="Times New Roman" w:hAnsi="Calibri" w:cs="Calibri"/>
                <w:bCs/>
                <w:color w:val="000000"/>
                <w:sz w:val="20"/>
                <w:szCs w:val="20"/>
                <w:lang w:eastAsia="pl-PL"/>
              </w:rPr>
            </w:pPr>
            <w:r w:rsidRPr="00983919">
              <w:rPr>
                <w:rFonts w:ascii="Calibri" w:eastAsia="Times New Roman" w:hAnsi="Calibri" w:cs="Calibri"/>
                <w:bCs/>
                <w:color w:val="000000"/>
                <w:sz w:val="20"/>
                <w:szCs w:val="20"/>
                <w:lang w:eastAsia="pl-PL"/>
              </w:rPr>
              <w:t>12:00-1</w:t>
            </w:r>
            <w:r>
              <w:rPr>
                <w:rFonts w:ascii="Calibri" w:eastAsia="Times New Roman" w:hAnsi="Calibri" w:cs="Calibri"/>
                <w:bCs/>
                <w:color w:val="000000"/>
                <w:sz w:val="20"/>
                <w:szCs w:val="20"/>
                <w:lang w:eastAsia="pl-PL"/>
              </w:rPr>
              <w:t>4</w:t>
            </w:r>
            <w:r w:rsidRPr="00983919">
              <w:rPr>
                <w:rFonts w:ascii="Calibri" w:eastAsia="Times New Roman" w:hAnsi="Calibri" w:cs="Calibri"/>
                <w:bCs/>
                <w:color w:val="000000"/>
                <w:sz w:val="20"/>
                <w:szCs w:val="20"/>
                <w:lang w:eastAsia="pl-PL"/>
              </w:rPr>
              <w:t>:</w:t>
            </w:r>
            <w:r>
              <w:rPr>
                <w:rFonts w:ascii="Calibri" w:eastAsia="Times New Roman" w:hAnsi="Calibri" w:cs="Calibri"/>
                <w:bCs/>
                <w:color w:val="000000"/>
                <w:sz w:val="20"/>
                <w:szCs w:val="20"/>
                <w:lang w:eastAsia="pl-PL"/>
              </w:rPr>
              <w:t>0</w:t>
            </w:r>
            <w:r w:rsidRPr="00983919">
              <w:rPr>
                <w:rFonts w:ascii="Calibri" w:eastAsia="Times New Roman" w:hAnsi="Calibri" w:cs="Calibri"/>
                <w:bCs/>
                <w:color w:val="000000"/>
                <w:sz w:val="20"/>
                <w:szCs w:val="20"/>
                <w:lang w:eastAsia="pl-PL"/>
              </w:rPr>
              <w:t>0</w:t>
            </w:r>
          </w:p>
        </w:tc>
        <w:tc>
          <w:tcPr>
            <w:tcW w:w="2529" w:type="dxa"/>
            <w:shd w:val="clear" w:color="auto" w:fill="auto"/>
            <w:noWrap/>
            <w:vAlign w:val="bottom"/>
            <w:hideMark/>
          </w:tcPr>
          <w:p w:rsidR="004B0C4A" w:rsidRPr="00983919" w:rsidRDefault="004B0C4A" w:rsidP="008C03B1">
            <w:pPr>
              <w:spacing w:after="0" w:line="240" w:lineRule="auto"/>
              <w:rPr>
                <w:rFonts w:ascii="Calibri" w:eastAsia="Times New Roman" w:hAnsi="Calibri" w:cs="Calibri"/>
                <w:bCs/>
                <w:color w:val="000000"/>
                <w:sz w:val="20"/>
                <w:szCs w:val="20"/>
                <w:lang w:eastAsia="pl-PL"/>
              </w:rPr>
            </w:pPr>
            <w:proofErr w:type="spellStart"/>
            <w:r w:rsidRPr="00532D0B">
              <w:rPr>
                <w:rFonts w:ascii="Calibri" w:eastAsia="Times New Roman" w:hAnsi="Calibri" w:cs="Calibri"/>
                <w:bCs/>
                <w:color w:val="000000"/>
                <w:sz w:val="20"/>
                <w:szCs w:val="20"/>
                <w:lang w:eastAsia="pl-PL"/>
              </w:rPr>
              <w:t>Wednesday</w:t>
            </w:r>
            <w:proofErr w:type="spellEnd"/>
          </w:p>
        </w:tc>
      </w:tr>
      <w:tr w:rsidR="004B0C4A" w:rsidRPr="00326CE5" w:rsidTr="008C03B1">
        <w:trPr>
          <w:trHeight w:val="288"/>
        </w:trPr>
        <w:tc>
          <w:tcPr>
            <w:tcW w:w="9229" w:type="dxa"/>
            <w:gridSpan w:val="4"/>
            <w:shd w:val="clear" w:color="auto" w:fill="auto"/>
            <w:noWrap/>
            <w:vAlign w:val="bottom"/>
          </w:tcPr>
          <w:p w:rsidR="004B0C4A" w:rsidRPr="00983919" w:rsidRDefault="004B0C4A" w:rsidP="008C03B1">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The second part of this seminar focuses on the statistical techniques associated with meta-analysis.  So, the focus in Part II is on data analysis, interpretation of findings, and report writing (i.e., the Meta-Analysis Reporting Standards, or MARS, of the APA).  In the overview of data analysis, I discuss:  </w:t>
            </w:r>
          </w:p>
          <w:p w:rsidR="004B0C4A" w:rsidRPr="00983919" w:rsidRDefault="004B0C4A" w:rsidP="008C03B1">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 the correction for study artifacts (such as measurement error) </w:t>
            </w:r>
          </w:p>
          <w:p w:rsidR="004B0C4A" w:rsidRPr="00983919" w:rsidRDefault="004B0C4A" w:rsidP="008C03B1">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 moderator analysis (categorical and continuous moderators; meta-regression)  </w:t>
            </w:r>
          </w:p>
          <w:p w:rsidR="004B0C4A" w:rsidRPr="00983919" w:rsidRDefault="004B0C4A" w:rsidP="008C03B1">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 meta-analytic path modeling (using one of my current working papers for illustrative purposes) </w:t>
            </w:r>
          </w:p>
          <w:p w:rsidR="004B0C4A" w:rsidRPr="00983919" w:rsidRDefault="004B0C4A" w:rsidP="008C03B1">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 xml:space="preserve">• publication bias.  </w:t>
            </w:r>
          </w:p>
          <w:p w:rsidR="004B0C4A" w:rsidRPr="00983919" w:rsidRDefault="004B0C4A" w:rsidP="008C03B1">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I also compare and contrast the Hedges-</w:t>
            </w:r>
            <w:proofErr w:type="spellStart"/>
            <w:r w:rsidRPr="00983919">
              <w:rPr>
                <w:rFonts w:ascii="Calibri" w:eastAsia="Times New Roman" w:hAnsi="Calibri" w:cs="Calibri"/>
                <w:bCs/>
                <w:color w:val="000000"/>
                <w:sz w:val="20"/>
                <w:szCs w:val="20"/>
                <w:lang w:val="en-US" w:eastAsia="pl-PL"/>
              </w:rPr>
              <w:t>Olkin</w:t>
            </w:r>
            <w:proofErr w:type="spellEnd"/>
            <w:r w:rsidRPr="00983919">
              <w:rPr>
                <w:rFonts w:ascii="Calibri" w:eastAsia="Times New Roman" w:hAnsi="Calibri" w:cs="Calibri"/>
                <w:bCs/>
                <w:color w:val="000000"/>
                <w:sz w:val="20"/>
                <w:szCs w:val="20"/>
                <w:lang w:val="en-US" w:eastAsia="pl-PL"/>
              </w:rPr>
              <w:t xml:space="preserve"> meta-analytic methods (HOMA) and the Hunter-Schmidt meta-analytic methods (HSMA).  </w:t>
            </w:r>
          </w:p>
          <w:p w:rsidR="004B0C4A" w:rsidRPr="00983919" w:rsidRDefault="004B0C4A" w:rsidP="008C03B1">
            <w:pPr>
              <w:spacing w:after="0" w:line="240" w:lineRule="auto"/>
              <w:jc w:val="both"/>
              <w:rPr>
                <w:rFonts w:ascii="Calibri" w:eastAsia="Times New Roman" w:hAnsi="Calibri" w:cs="Calibri"/>
                <w:bCs/>
                <w:color w:val="000000"/>
                <w:sz w:val="20"/>
                <w:szCs w:val="20"/>
                <w:lang w:val="en-US" w:eastAsia="pl-PL"/>
              </w:rPr>
            </w:pPr>
            <w:r w:rsidRPr="00983919">
              <w:rPr>
                <w:rFonts w:ascii="Calibri" w:eastAsia="Times New Roman" w:hAnsi="Calibri" w:cs="Calibri"/>
                <w:bCs/>
                <w:color w:val="000000"/>
                <w:sz w:val="20"/>
                <w:szCs w:val="20"/>
                <w:lang w:val="en-US" w:eastAsia="pl-PL"/>
              </w:rPr>
              <w:t>Finally, we will discuss the participants' MA applications</w:t>
            </w:r>
          </w:p>
        </w:tc>
      </w:tr>
      <w:tr w:rsidR="004B0C4A" w:rsidRPr="00D432BD" w:rsidTr="008C03B1">
        <w:trPr>
          <w:trHeight w:val="288"/>
        </w:trPr>
        <w:tc>
          <w:tcPr>
            <w:tcW w:w="9229" w:type="dxa"/>
            <w:gridSpan w:val="4"/>
            <w:shd w:val="clear" w:color="auto" w:fill="auto"/>
            <w:noWrap/>
            <w:vAlign w:val="bottom"/>
          </w:tcPr>
          <w:p w:rsidR="004B0C4A" w:rsidRPr="004B0C4A" w:rsidRDefault="004B0C4A" w:rsidP="004B0C4A">
            <w:pPr>
              <w:spacing w:after="0" w:line="240" w:lineRule="auto"/>
            </w:pPr>
            <w:bookmarkStart w:id="1" w:name="_Hlk535338715"/>
            <w:r w:rsidRPr="009F27E8">
              <w:rPr>
                <w:rFonts w:ascii="Calibri" w:eastAsia="Times New Roman" w:hAnsi="Calibri" w:cs="Calibri"/>
                <w:b/>
                <w:bCs/>
                <w:color w:val="000000"/>
                <w:sz w:val="20"/>
                <w:szCs w:val="20"/>
                <w:lang w:val="en-US" w:eastAsia="pl-PL"/>
              </w:rPr>
              <w:t>Recommended reading:</w:t>
            </w:r>
            <w:r w:rsidRPr="004B0C4A">
              <w:rPr>
                <w:rFonts w:ascii="Calibri" w:eastAsia="Times New Roman" w:hAnsi="Calibri" w:cs="Calibri"/>
                <w:bCs/>
                <w:color w:val="000000"/>
                <w:sz w:val="20"/>
                <w:szCs w:val="20"/>
                <w:lang w:val="en-US" w:eastAsia="pl-PL"/>
              </w:rPr>
              <w:t xml:space="preserve"> </w:t>
            </w:r>
            <w:r w:rsidRPr="004B0C4A">
              <w:rPr>
                <w:lang w:val="en-US"/>
              </w:rPr>
              <w:t>El-</w:t>
            </w:r>
            <w:proofErr w:type="spellStart"/>
            <w:r w:rsidRPr="004B0C4A">
              <w:rPr>
                <w:lang w:val="en-US"/>
              </w:rPr>
              <w:t>Akremi</w:t>
            </w:r>
            <w:proofErr w:type="spellEnd"/>
            <w:r w:rsidRPr="004B0C4A">
              <w:rPr>
                <w:lang w:val="en-US"/>
              </w:rPr>
              <w:t xml:space="preserve">, A., Gond, J.-P., </w:t>
            </w:r>
            <w:proofErr w:type="spellStart"/>
            <w:r w:rsidRPr="004B0C4A">
              <w:rPr>
                <w:lang w:val="en-US"/>
              </w:rPr>
              <w:t>Orlitzky</w:t>
            </w:r>
            <w:proofErr w:type="spellEnd"/>
            <w:r w:rsidRPr="004B0C4A">
              <w:rPr>
                <w:lang w:val="en-US"/>
              </w:rPr>
              <w:t xml:space="preserve">, M., Shen, J., &amp; </w:t>
            </w:r>
            <w:proofErr w:type="spellStart"/>
            <w:r w:rsidRPr="004B0C4A">
              <w:rPr>
                <w:lang w:val="en-US"/>
              </w:rPr>
              <w:t>Swaen</w:t>
            </w:r>
            <w:proofErr w:type="spellEnd"/>
            <w:r w:rsidRPr="004B0C4A">
              <w:rPr>
                <w:lang w:val="en-US"/>
              </w:rPr>
              <w:t xml:space="preserve">, V. (2019). </w:t>
            </w:r>
            <w:r w:rsidRPr="004B0C4A">
              <w:rPr>
                <w:i/>
                <w:lang w:val="en-US"/>
              </w:rPr>
              <w:t>How does corporate social responsibility influence workplace outcomes?  A meta-analysis of mediating mechanisms.</w:t>
            </w:r>
            <w:r w:rsidRPr="004B0C4A">
              <w:rPr>
                <w:lang w:val="en-US"/>
              </w:rPr>
              <w:t xml:space="preserve">  </w:t>
            </w:r>
            <w:bookmarkEnd w:id="1"/>
            <w:proofErr w:type="spellStart"/>
            <w:r>
              <w:t>Unpublished</w:t>
            </w:r>
            <w:proofErr w:type="spellEnd"/>
            <w:r>
              <w:t xml:space="preserve"> </w:t>
            </w:r>
            <w:proofErr w:type="spellStart"/>
            <w:r>
              <w:t>working</w:t>
            </w:r>
            <w:proofErr w:type="spellEnd"/>
            <w:r>
              <w:t xml:space="preserve"> </w:t>
            </w:r>
            <w:proofErr w:type="spellStart"/>
            <w:r>
              <w:t>paper</w:t>
            </w:r>
            <w:proofErr w:type="spellEnd"/>
            <w:r>
              <w:t xml:space="preserve"> [</w:t>
            </w:r>
            <w:proofErr w:type="spellStart"/>
            <w:r>
              <w:t>illustrating</w:t>
            </w:r>
            <w:proofErr w:type="spellEnd"/>
            <w:r>
              <w:t xml:space="preserve"> MASEM]. </w:t>
            </w:r>
          </w:p>
        </w:tc>
      </w:tr>
    </w:tbl>
    <w:p w:rsidR="004B0C4A" w:rsidRDefault="004B0C4A">
      <w:pPr>
        <w:rPr>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900"/>
        <w:gridCol w:w="1720"/>
        <w:gridCol w:w="2529"/>
      </w:tblGrid>
      <w:tr w:rsidR="00532D0B" w:rsidRPr="00326CE5" w:rsidTr="00532D0B">
        <w:trPr>
          <w:trHeight w:val="288"/>
        </w:trPr>
        <w:tc>
          <w:tcPr>
            <w:tcW w:w="9229" w:type="dxa"/>
            <w:gridSpan w:val="4"/>
            <w:shd w:val="clear" w:color="auto" w:fill="auto"/>
            <w:noWrap/>
            <w:vAlign w:val="bottom"/>
          </w:tcPr>
          <w:p w:rsidR="00532D0B" w:rsidRPr="002D14DE" w:rsidRDefault="00532D0B" w:rsidP="00532D0B">
            <w:pPr>
              <w:spacing w:after="0" w:line="240" w:lineRule="auto"/>
              <w:rPr>
                <w:rFonts w:ascii="Calibri" w:eastAsia="Times New Roman" w:hAnsi="Calibri" w:cs="Calibri"/>
                <w:b/>
                <w:bCs/>
                <w:color w:val="000000"/>
                <w:sz w:val="20"/>
                <w:szCs w:val="20"/>
                <w:lang w:val="en-US" w:eastAsia="pl-PL"/>
              </w:rPr>
            </w:pPr>
            <w:r w:rsidRPr="002D14DE">
              <w:rPr>
                <w:rFonts w:ascii="Calibri" w:eastAsia="Times New Roman" w:hAnsi="Calibri" w:cs="Calibri"/>
                <w:b/>
                <w:bCs/>
                <w:color w:val="000000"/>
                <w:sz w:val="20"/>
                <w:szCs w:val="20"/>
                <w:lang w:val="en-US" w:eastAsia="pl-PL"/>
              </w:rPr>
              <w:t>Paper development seminar I: Books</w:t>
            </w:r>
          </w:p>
        </w:tc>
      </w:tr>
      <w:tr w:rsidR="00532D0B" w:rsidRPr="00532D0B" w:rsidTr="00532D0B">
        <w:trPr>
          <w:trHeight w:val="288"/>
        </w:trPr>
        <w:tc>
          <w:tcPr>
            <w:tcW w:w="3080" w:type="dxa"/>
            <w:shd w:val="clear" w:color="auto" w:fill="auto"/>
            <w:noWrap/>
            <w:vAlign w:val="bottom"/>
            <w:hideMark/>
          </w:tcPr>
          <w:p w:rsidR="002D14DE" w:rsidRDefault="00532D0B" w:rsidP="002D14DE">
            <w:pPr>
              <w:spacing w:after="0" w:line="240" w:lineRule="auto"/>
              <w:rPr>
                <w:rFonts w:ascii="Calibri" w:eastAsia="Times New Roman" w:hAnsi="Calibri" w:cs="Calibri"/>
                <w:bCs/>
                <w:color w:val="000000"/>
                <w:sz w:val="20"/>
                <w:szCs w:val="20"/>
                <w:lang w:eastAsia="pl-PL"/>
              </w:rPr>
            </w:pPr>
            <w:proofErr w:type="spellStart"/>
            <w:r w:rsidRPr="00532D0B">
              <w:rPr>
                <w:rFonts w:ascii="Calibri" w:eastAsia="Times New Roman" w:hAnsi="Calibri" w:cs="Calibri"/>
                <w:bCs/>
                <w:color w:val="000000"/>
                <w:sz w:val="20"/>
                <w:szCs w:val="20"/>
                <w:lang w:eastAsia="pl-PL"/>
              </w:rPr>
              <w:t>Tuomo</w:t>
            </w:r>
            <w:proofErr w:type="spellEnd"/>
            <w:r w:rsidRPr="00532D0B">
              <w:rPr>
                <w:rFonts w:ascii="Calibri" w:eastAsia="Times New Roman" w:hAnsi="Calibri" w:cs="Calibri"/>
                <w:bCs/>
                <w:color w:val="000000"/>
                <w:sz w:val="20"/>
                <w:szCs w:val="20"/>
                <w:lang w:eastAsia="pl-PL"/>
              </w:rPr>
              <w:t xml:space="preserve"> Peltonen</w:t>
            </w:r>
          </w:p>
          <w:p w:rsidR="00532D0B" w:rsidRPr="00532D0B" w:rsidRDefault="00532D0B" w:rsidP="002D14DE">
            <w:pPr>
              <w:spacing w:after="0" w:line="240" w:lineRule="auto"/>
              <w:rPr>
                <w:rFonts w:ascii="Calibri" w:eastAsia="Times New Roman" w:hAnsi="Calibri" w:cs="Calibri"/>
                <w:bCs/>
                <w:color w:val="000000"/>
                <w:sz w:val="20"/>
                <w:szCs w:val="20"/>
                <w:lang w:eastAsia="pl-PL"/>
              </w:rPr>
            </w:pPr>
            <w:r w:rsidRPr="00532D0B">
              <w:rPr>
                <w:rFonts w:ascii="Calibri" w:eastAsia="Times New Roman" w:hAnsi="Calibri" w:cs="Calibri"/>
                <w:bCs/>
                <w:color w:val="000000"/>
                <w:sz w:val="20"/>
                <w:szCs w:val="20"/>
                <w:lang w:eastAsia="pl-PL"/>
              </w:rPr>
              <w:t>(</w:t>
            </w:r>
            <w:proofErr w:type="spellStart"/>
            <w:r w:rsidRPr="00532D0B">
              <w:rPr>
                <w:rFonts w:ascii="Calibri" w:eastAsia="Times New Roman" w:hAnsi="Calibri" w:cs="Calibri"/>
                <w:bCs/>
                <w:color w:val="000000"/>
                <w:sz w:val="20"/>
                <w:szCs w:val="20"/>
                <w:lang w:eastAsia="pl-PL"/>
              </w:rPr>
              <w:t>Åbo</w:t>
            </w:r>
            <w:proofErr w:type="spellEnd"/>
            <w:r w:rsidRPr="00532D0B">
              <w:rPr>
                <w:rFonts w:ascii="Calibri" w:eastAsia="Times New Roman" w:hAnsi="Calibri" w:cs="Calibri"/>
                <w:bCs/>
                <w:color w:val="000000"/>
                <w:sz w:val="20"/>
                <w:szCs w:val="20"/>
                <w:lang w:eastAsia="pl-PL"/>
              </w:rPr>
              <w:t xml:space="preserve"> </w:t>
            </w:r>
            <w:proofErr w:type="spellStart"/>
            <w:r w:rsidRPr="00532D0B">
              <w:rPr>
                <w:rFonts w:ascii="Calibri" w:eastAsia="Times New Roman" w:hAnsi="Calibri" w:cs="Calibri"/>
                <w:bCs/>
                <w:color w:val="000000"/>
                <w:sz w:val="20"/>
                <w:szCs w:val="20"/>
                <w:lang w:eastAsia="pl-PL"/>
              </w:rPr>
              <w:t>Akademi</w:t>
            </w:r>
            <w:proofErr w:type="spellEnd"/>
            <w:r w:rsidRPr="00532D0B">
              <w:rPr>
                <w:rFonts w:ascii="Calibri" w:eastAsia="Times New Roman" w:hAnsi="Calibri" w:cs="Calibri"/>
                <w:bCs/>
                <w:color w:val="000000"/>
                <w:sz w:val="20"/>
                <w:szCs w:val="20"/>
                <w:lang w:eastAsia="pl-PL"/>
              </w:rPr>
              <w:t xml:space="preserve"> University)</w:t>
            </w:r>
          </w:p>
        </w:tc>
        <w:tc>
          <w:tcPr>
            <w:tcW w:w="1900" w:type="dxa"/>
            <w:shd w:val="clear" w:color="auto" w:fill="auto"/>
            <w:noWrap/>
            <w:vAlign w:val="bottom"/>
            <w:hideMark/>
          </w:tcPr>
          <w:p w:rsidR="00532D0B" w:rsidRPr="00532D0B" w:rsidRDefault="00532D0B" w:rsidP="002D14DE">
            <w:pPr>
              <w:spacing w:after="0" w:line="240" w:lineRule="auto"/>
              <w:rPr>
                <w:rFonts w:ascii="Calibri" w:eastAsia="Times New Roman" w:hAnsi="Calibri" w:cs="Calibri"/>
                <w:bCs/>
                <w:color w:val="000000"/>
                <w:sz w:val="20"/>
                <w:szCs w:val="20"/>
                <w:lang w:eastAsia="pl-PL"/>
              </w:rPr>
            </w:pPr>
            <w:r w:rsidRPr="00532D0B">
              <w:rPr>
                <w:rFonts w:ascii="Calibri" w:eastAsia="Times New Roman" w:hAnsi="Calibri" w:cs="Calibri"/>
                <w:bCs/>
                <w:color w:val="000000"/>
                <w:sz w:val="20"/>
                <w:szCs w:val="20"/>
                <w:lang w:eastAsia="pl-PL"/>
              </w:rPr>
              <w:t>08.04.2019</w:t>
            </w:r>
          </w:p>
        </w:tc>
        <w:tc>
          <w:tcPr>
            <w:tcW w:w="1720" w:type="dxa"/>
            <w:shd w:val="clear" w:color="auto" w:fill="auto"/>
            <w:noWrap/>
            <w:vAlign w:val="bottom"/>
            <w:hideMark/>
          </w:tcPr>
          <w:p w:rsidR="00532D0B" w:rsidRPr="00532D0B" w:rsidRDefault="00532D0B" w:rsidP="002D14DE">
            <w:pPr>
              <w:spacing w:after="0" w:line="240" w:lineRule="auto"/>
              <w:rPr>
                <w:rFonts w:ascii="Calibri" w:eastAsia="Times New Roman" w:hAnsi="Calibri" w:cs="Calibri"/>
                <w:bCs/>
                <w:color w:val="000000"/>
                <w:sz w:val="20"/>
                <w:szCs w:val="20"/>
                <w:lang w:eastAsia="pl-PL"/>
              </w:rPr>
            </w:pPr>
            <w:r w:rsidRPr="00532D0B">
              <w:rPr>
                <w:rFonts w:ascii="Calibri" w:eastAsia="Times New Roman" w:hAnsi="Calibri" w:cs="Calibri"/>
                <w:bCs/>
                <w:color w:val="000000"/>
                <w:sz w:val="20"/>
                <w:szCs w:val="20"/>
                <w:lang w:eastAsia="pl-PL"/>
              </w:rPr>
              <w:t>12:00-14:00</w:t>
            </w:r>
          </w:p>
        </w:tc>
        <w:tc>
          <w:tcPr>
            <w:tcW w:w="2529" w:type="dxa"/>
            <w:shd w:val="clear" w:color="auto" w:fill="auto"/>
            <w:noWrap/>
            <w:vAlign w:val="bottom"/>
            <w:hideMark/>
          </w:tcPr>
          <w:p w:rsidR="00532D0B" w:rsidRPr="00532D0B" w:rsidRDefault="002D14DE" w:rsidP="002D14DE">
            <w:pPr>
              <w:spacing w:after="0" w:line="240" w:lineRule="auto"/>
              <w:rPr>
                <w:rFonts w:ascii="Calibri" w:eastAsia="Times New Roman" w:hAnsi="Calibri" w:cs="Calibri"/>
                <w:bCs/>
                <w:color w:val="000000"/>
                <w:sz w:val="20"/>
                <w:szCs w:val="20"/>
                <w:lang w:eastAsia="pl-PL"/>
              </w:rPr>
            </w:pPr>
            <w:proofErr w:type="spellStart"/>
            <w:r>
              <w:rPr>
                <w:rFonts w:ascii="Calibri" w:eastAsia="Times New Roman" w:hAnsi="Calibri" w:cs="Calibri"/>
                <w:bCs/>
                <w:color w:val="000000"/>
                <w:sz w:val="20"/>
                <w:szCs w:val="20"/>
                <w:lang w:eastAsia="pl-PL"/>
              </w:rPr>
              <w:t>Monday</w:t>
            </w:r>
            <w:proofErr w:type="spellEnd"/>
          </w:p>
        </w:tc>
      </w:tr>
      <w:tr w:rsidR="00532D0B" w:rsidRPr="00326CE5" w:rsidTr="00532D0B">
        <w:trPr>
          <w:trHeight w:val="288"/>
        </w:trPr>
        <w:tc>
          <w:tcPr>
            <w:tcW w:w="9229" w:type="dxa"/>
            <w:gridSpan w:val="4"/>
            <w:shd w:val="clear" w:color="auto" w:fill="auto"/>
            <w:noWrap/>
            <w:vAlign w:val="bottom"/>
          </w:tcPr>
          <w:p w:rsidR="00532D0B" w:rsidRPr="00532D0B" w:rsidRDefault="00532D0B" w:rsidP="002D14DE">
            <w:pPr>
              <w:spacing w:after="0" w:line="240" w:lineRule="auto"/>
              <w:jc w:val="both"/>
              <w:rPr>
                <w:rFonts w:ascii="Calibri" w:eastAsia="Times New Roman" w:hAnsi="Calibri" w:cs="Calibri"/>
                <w:bCs/>
                <w:color w:val="000000"/>
                <w:sz w:val="20"/>
                <w:szCs w:val="20"/>
                <w:lang w:val="en-US" w:eastAsia="pl-PL"/>
              </w:rPr>
            </w:pPr>
            <w:r w:rsidRPr="00532D0B">
              <w:rPr>
                <w:rFonts w:ascii="Calibri" w:eastAsia="Times New Roman" w:hAnsi="Calibri" w:cs="Calibri"/>
                <w:bCs/>
                <w:color w:val="000000"/>
                <w:sz w:val="20"/>
                <w:szCs w:val="20"/>
                <w:lang w:val="en-US" w:eastAsia="pl-PL"/>
              </w:rPr>
              <w:t>A seminar on book publishing (monographs + book chapters). Although not as esteemed as journal publishing, books continue to be valued within humanities and social sciences. The seminar will explain the dynamics of the international book market in management, with a variety of publishing houses and types of books (monographs, edited volumes, handbooks and textbooks). In the practical side, the seminar will go through the book proposal crafting and review process, and give tips on how to translate a thesis into a book. I will use my recent experience with Palgrave to explain what is expected of a book proposal and how the book publishing process proceeds. In addition, I will tackle the specific features of book chapters, as well the various pros and cons of book chapter publishing, especially in relation to journal publishing. Young scholars interested in getting their work published in international books can benefit from this seminar.</w:t>
            </w:r>
          </w:p>
        </w:tc>
      </w:tr>
    </w:tbl>
    <w:p w:rsidR="00BB6D31" w:rsidRDefault="00BB6D31">
      <w:pPr>
        <w:rPr>
          <w:lang w:val="en-US"/>
        </w:rPr>
      </w:pPr>
    </w:p>
    <w:p w:rsidR="00BB6D31" w:rsidRDefault="00BB6D31">
      <w:pPr>
        <w:rPr>
          <w:lang w:val="en-US"/>
        </w:rPr>
      </w:pPr>
      <w:r>
        <w:rPr>
          <w:lang w:val="en-US"/>
        </w:rPr>
        <w:br w:type="page"/>
      </w:r>
    </w:p>
    <w:p w:rsidR="00D432BD" w:rsidRPr="00D432BD" w:rsidRDefault="00D432BD" w:rsidP="00D432BD">
      <w:pPr>
        <w:jc w:val="center"/>
        <w:rPr>
          <w:b/>
          <w:sz w:val="32"/>
          <w:lang w:val="en-US"/>
        </w:rPr>
      </w:pPr>
      <w:r w:rsidRPr="00D432BD">
        <w:rPr>
          <w:b/>
          <w:sz w:val="32"/>
          <w:lang w:val="en-US"/>
        </w:rPr>
        <w:lastRenderedPageBreak/>
        <w:t>Notes about Visiting Scholars</w:t>
      </w:r>
    </w:p>
    <w:tbl>
      <w:tblPr>
        <w:tblStyle w:val="Tabela-Siatka"/>
        <w:tblW w:w="0" w:type="auto"/>
        <w:tblLook w:val="04A0" w:firstRow="1" w:lastRow="0" w:firstColumn="1" w:lastColumn="0" w:noHBand="0" w:noVBand="1"/>
      </w:tblPr>
      <w:tblGrid>
        <w:gridCol w:w="2376"/>
        <w:gridCol w:w="6912"/>
      </w:tblGrid>
      <w:tr w:rsidR="00D432BD" w:rsidTr="0042742E">
        <w:tc>
          <w:tcPr>
            <w:tcW w:w="9212" w:type="dxa"/>
            <w:gridSpan w:val="2"/>
          </w:tcPr>
          <w:p w:rsidR="00D432BD" w:rsidRPr="001972CF" w:rsidRDefault="00D432BD">
            <w:pPr>
              <w:rPr>
                <w:rFonts w:cstheme="minorHAnsi"/>
                <w:b/>
                <w:lang w:val="en-US"/>
              </w:rPr>
            </w:pPr>
            <w:r w:rsidRPr="001972CF">
              <w:rPr>
                <w:rFonts w:cstheme="minorHAnsi"/>
                <w:b/>
                <w:sz w:val="24"/>
                <w:szCs w:val="24"/>
                <w:lang w:val="en-US"/>
              </w:rPr>
              <w:t xml:space="preserve">Claudio </w:t>
            </w:r>
            <w:proofErr w:type="spellStart"/>
            <w:r w:rsidRPr="001972CF">
              <w:rPr>
                <w:rFonts w:cstheme="minorHAnsi"/>
                <w:b/>
                <w:sz w:val="24"/>
                <w:szCs w:val="24"/>
                <w:lang w:val="en-US"/>
              </w:rPr>
              <w:t>Biscaro</w:t>
            </w:r>
            <w:proofErr w:type="spellEnd"/>
          </w:p>
        </w:tc>
      </w:tr>
      <w:tr w:rsidR="00D432BD" w:rsidRPr="00326CE5" w:rsidTr="00D432BD">
        <w:tc>
          <w:tcPr>
            <w:tcW w:w="2093" w:type="dxa"/>
          </w:tcPr>
          <w:p w:rsidR="00D432BD" w:rsidRDefault="00D432BD">
            <w:pPr>
              <w:rPr>
                <w:lang w:val="en-US"/>
              </w:rPr>
            </w:pPr>
            <w:r>
              <w:rPr>
                <w:noProof/>
                <w:lang w:eastAsia="pl-PL"/>
              </w:rPr>
              <w:drawing>
                <wp:inline distT="0" distB="0" distL="0" distR="0">
                  <wp:extent cx="1371600" cy="1828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caro Claudio-94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inline>
              </w:drawing>
            </w:r>
          </w:p>
        </w:tc>
        <w:tc>
          <w:tcPr>
            <w:tcW w:w="7119" w:type="dxa"/>
          </w:tcPr>
          <w:p w:rsidR="00D432BD" w:rsidRPr="001972CF" w:rsidRDefault="00D432BD" w:rsidP="001972CF">
            <w:pPr>
              <w:jc w:val="both"/>
              <w:rPr>
                <w:rFonts w:cstheme="minorHAnsi"/>
                <w:sz w:val="20"/>
                <w:szCs w:val="20"/>
                <w:lang w:val="en-US"/>
              </w:rPr>
            </w:pPr>
            <w:r w:rsidRPr="001972CF">
              <w:rPr>
                <w:rFonts w:cstheme="minorHAnsi"/>
                <w:sz w:val="20"/>
                <w:szCs w:val="20"/>
                <w:lang w:val="en-US"/>
              </w:rPr>
              <w:t xml:space="preserve">Claudio </w:t>
            </w:r>
            <w:proofErr w:type="spellStart"/>
            <w:r w:rsidRPr="001972CF">
              <w:rPr>
                <w:rFonts w:cstheme="minorHAnsi"/>
                <w:sz w:val="20"/>
                <w:szCs w:val="20"/>
                <w:lang w:val="en-US"/>
              </w:rPr>
              <w:t>Biscaro</w:t>
            </w:r>
            <w:proofErr w:type="spellEnd"/>
            <w:r w:rsidRPr="001972CF">
              <w:rPr>
                <w:rFonts w:cstheme="minorHAnsi"/>
                <w:sz w:val="20"/>
                <w:szCs w:val="20"/>
                <w:lang w:val="en-US"/>
              </w:rPr>
              <w:t xml:space="preserve"> is an Assistant Professor in Change Management at the WU Vienna, University of Economics and Business. Prior to joining WU, Claudio was a post-doctoral fellow in Organization Studies at the JKU Linz, Austria, and a research fellow at the Ca’ </w:t>
            </w:r>
            <w:proofErr w:type="spellStart"/>
            <w:r w:rsidRPr="001972CF">
              <w:rPr>
                <w:rFonts w:cstheme="minorHAnsi"/>
                <w:sz w:val="20"/>
                <w:szCs w:val="20"/>
                <w:lang w:val="en-US"/>
              </w:rPr>
              <w:t>Foscari</w:t>
            </w:r>
            <w:proofErr w:type="spellEnd"/>
            <w:r w:rsidRPr="001972CF">
              <w:rPr>
                <w:rFonts w:cstheme="minorHAnsi"/>
                <w:sz w:val="20"/>
                <w:szCs w:val="20"/>
                <w:lang w:val="en-US"/>
              </w:rPr>
              <w:t xml:space="preserve"> University of Venice, Italy, in the department of Economics and sustainability. He obtained his PhD in Business from the department of Management at the Ca’ </w:t>
            </w:r>
            <w:proofErr w:type="spellStart"/>
            <w:r w:rsidRPr="001972CF">
              <w:rPr>
                <w:rFonts w:cstheme="minorHAnsi"/>
                <w:sz w:val="20"/>
                <w:szCs w:val="20"/>
                <w:lang w:val="en-US"/>
              </w:rPr>
              <w:t>Foscari</w:t>
            </w:r>
            <w:proofErr w:type="spellEnd"/>
            <w:r w:rsidRPr="001972CF">
              <w:rPr>
                <w:rFonts w:cstheme="minorHAnsi"/>
                <w:sz w:val="20"/>
                <w:szCs w:val="20"/>
                <w:lang w:val="en-US"/>
              </w:rPr>
              <w:t xml:space="preserve"> University of Venice, Italy. Claudio’s research positions in the discipline of Organization Theory. Specifically, his interests direct him toward studying creativity and innovation as well as change in business and society. He currently examines organizations’ responses and reactions to external pressure, the institutionalization of new forms of social controls, the survival versus extinction of online-communities, as well as creativity. Analytically, he focuses on the effects of micro-processes, such as social exchanges, framing, language tropes such as metaphors, and individual cognition, on macro-phenomena. </w:t>
            </w:r>
          </w:p>
          <w:p w:rsidR="00D432BD" w:rsidRPr="001972CF" w:rsidRDefault="00D432BD" w:rsidP="001972CF">
            <w:pPr>
              <w:jc w:val="both"/>
              <w:rPr>
                <w:rFonts w:cstheme="minorHAnsi"/>
                <w:sz w:val="20"/>
                <w:szCs w:val="20"/>
                <w:lang w:val="en-US"/>
              </w:rPr>
            </w:pPr>
            <w:r w:rsidRPr="001972CF">
              <w:rPr>
                <w:rFonts w:cstheme="minorHAnsi"/>
                <w:sz w:val="20"/>
                <w:szCs w:val="20"/>
                <w:lang w:val="en-US"/>
              </w:rPr>
              <w:t xml:space="preserve">Claudio’s work has been published in outlets such as </w:t>
            </w:r>
            <w:r w:rsidRPr="001972CF">
              <w:rPr>
                <w:rFonts w:cstheme="minorHAnsi"/>
                <w:i/>
                <w:sz w:val="20"/>
                <w:szCs w:val="20"/>
                <w:lang w:val="en-US"/>
              </w:rPr>
              <w:t>Organization Science</w:t>
            </w:r>
            <w:r w:rsidRPr="001972CF">
              <w:rPr>
                <w:rFonts w:cstheme="minorHAnsi"/>
                <w:sz w:val="20"/>
                <w:szCs w:val="20"/>
                <w:lang w:val="en-US"/>
              </w:rPr>
              <w:t xml:space="preserve">, </w:t>
            </w:r>
            <w:proofErr w:type="spellStart"/>
            <w:r w:rsidRPr="001972CF">
              <w:rPr>
                <w:rFonts w:cstheme="minorHAnsi"/>
                <w:i/>
                <w:sz w:val="20"/>
                <w:szCs w:val="20"/>
                <w:lang w:val="en-US"/>
              </w:rPr>
              <w:t>Plos</w:t>
            </w:r>
            <w:proofErr w:type="spellEnd"/>
            <w:r w:rsidRPr="001972CF">
              <w:rPr>
                <w:rFonts w:cstheme="minorHAnsi"/>
                <w:i/>
                <w:sz w:val="20"/>
                <w:szCs w:val="20"/>
                <w:lang w:val="en-US"/>
              </w:rPr>
              <w:t xml:space="preserve"> One</w:t>
            </w:r>
            <w:r w:rsidRPr="001972CF">
              <w:rPr>
                <w:rFonts w:cstheme="minorHAnsi"/>
                <w:sz w:val="20"/>
                <w:szCs w:val="20"/>
                <w:lang w:val="en-US"/>
              </w:rPr>
              <w:t xml:space="preserve">, </w:t>
            </w:r>
            <w:r w:rsidRPr="001972CF">
              <w:rPr>
                <w:rFonts w:cstheme="minorHAnsi"/>
                <w:i/>
                <w:sz w:val="20"/>
                <w:szCs w:val="20"/>
                <w:lang w:val="en-US"/>
              </w:rPr>
              <w:t>Natural Hazards</w:t>
            </w:r>
            <w:r w:rsidRPr="001972CF">
              <w:rPr>
                <w:rFonts w:cstheme="minorHAnsi"/>
                <w:sz w:val="20"/>
                <w:szCs w:val="20"/>
                <w:lang w:val="en-US"/>
              </w:rPr>
              <w:t xml:space="preserve"> and </w:t>
            </w:r>
            <w:r w:rsidRPr="001972CF">
              <w:rPr>
                <w:rFonts w:cstheme="minorHAnsi"/>
                <w:i/>
                <w:sz w:val="20"/>
                <w:szCs w:val="20"/>
                <w:lang w:val="en-US"/>
              </w:rPr>
              <w:t>Environmental Research Letters</w:t>
            </w:r>
            <w:r w:rsidRPr="001972CF">
              <w:rPr>
                <w:rFonts w:cstheme="minorHAnsi"/>
                <w:sz w:val="20"/>
                <w:szCs w:val="20"/>
                <w:lang w:val="en-US"/>
              </w:rPr>
              <w:t xml:space="preserve">. He reviews for Organization Science, Organization Studies, Human Relations, and </w:t>
            </w:r>
            <w:proofErr w:type="spellStart"/>
            <w:r w:rsidRPr="001972CF">
              <w:rPr>
                <w:rFonts w:cstheme="minorHAnsi"/>
                <w:sz w:val="20"/>
                <w:szCs w:val="20"/>
                <w:lang w:val="en-US"/>
              </w:rPr>
              <w:t>Plos</w:t>
            </w:r>
            <w:proofErr w:type="spellEnd"/>
            <w:r w:rsidRPr="001972CF">
              <w:rPr>
                <w:rFonts w:cstheme="minorHAnsi"/>
                <w:sz w:val="20"/>
                <w:szCs w:val="20"/>
                <w:lang w:val="en-US"/>
              </w:rPr>
              <w:t xml:space="preserve"> One.</w:t>
            </w:r>
          </w:p>
          <w:p w:rsidR="00D432BD" w:rsidRPr="00D432BD" w:rsidRDefault="00D432BD" w:rsidP="001972CF">
            <w:pPr>
              <w:jc w:val="both"/>
              <w:rPr>
                <w:rFonts w:ascii="Garamond" w:hAnsi="Garamond"/>
                <w:sz w:val="24"/>
                <w:szCs w:val="24"/>
                <w:lang w:val="en-US"/>
              </w:rPr>
            </w:pPr>
            <w:r w:rsidRPr="001972CF">
              <w:rPr>
                <w:rFonts w:cstheme="minorHAnsi"/>
                <w:sz w:val="20"/>
                <w:szCs w:val="20"/>
                <w:lang w:val="en-US"/>
              </w:rPr>
              <w:t>He has been an invited speaker in several universities: University of Southern California (USA), Cass Business School at City University (UK), Said Business School at University of Oxford (UK), University of Nottingham (UK), University of Trento (Italy), University of Venice (Italy), and WU Vienna (Austria).</w:t>
            </w:r>
            <w:r>
              <w:rPr>
                <w:rFonts w:ascii="Garamond" w:hAnsi="Garamond"/>
                <w:sz w:val="24"/>
                <w:szCs w:val="24"/>
                <w:lang w:val="en-US"/>
              </w:rPr>
              <w:t xml:space="preserve"> </w:t>
            </w:r>
          </w:p>
        </w:tc>
      </w:tr>
    </w:tbl>
    <w:p w:rsidR="00C83306" w:rsidRDefault="00C83306">
      <w:pPr>
        <w:rPr>
          <w:lang w:val="en-US"/>
        </w:rPr>
      </w:pPr>
    </w:p>
    <w:p w:rsidR="00C83306" w:rsidRDefault="00C83306">
      <w:pPr>
        <w:rPr>
          <w:lang w:val="en-US"/>
        </w:rPr>
      </w:pPr>
      <w:r>
        <w:rPr>
          <w:lang w:val="en-US"/>
        </w:rPr>
        <w:br w:type="page"/>
      </w:r>
    </w:p>
    <w:p w:rsidR="00D432BD" w:rsidRDefault="00D432BD">
      <w:pPr>
        <w:rPr>
          <w:lang w:val="en-US"/>
        </w:rPr>
      </w:pPr>
    </w:p>
    <w:tbl>
      <w:tblPr>
        <w:tblStyle w:val="Tabela-Siatka"/>
        <w:tblW w:w="0" w:type="auto"/>
        <w:tblLook w:val="04A0" w:firstRow="1" w:lastRow="0" w:firstColumn="1" w:lastColumn="0" w:noHBand="0" w:noVBand="1"/>
      </w:tblPr>
      <w:tblGrid>
        <w:gridCol w:w="2376"/>
        <w:gridCol w:w="6912"/>
      </w:tblGrid>
      <w:tr w:rsidR="00D432BD" w:rsidTr="001972CF">
        <w:tc>
          <w:tcPr>
            <w:tcW w:w="9288" w:type="dxa"/>
            <w:gridSpan w:val="2"/>
          </w:tcPr>
          <w:p w:rsidR="00D432BD" w:rsidRPr="001972CF" w:rsidRDefault="00D432BD" w:rsidP="008C03B1">
            <w:pPr>
              <w:rPr>
                <w:b/>
                <w:lang w:val="en-US"/>
              </w:rPr>
            </w:pPr>
            <w:r w:rsidRPr="001972CF">
              <w:rPr>
                <w:b/>
                <w:lang w:val="en-US"/>
              </w:rPr>
              <w:t xml:space="preserve">Marc </w:t>
            </w:r>
            <w:proofErr w:type="spellStart"/>
            <w:r w:rsidRPr="001972CF">
              <w:rPr>
                <w:b/>
                <w:lang w:val="en-US"/>
              </w:rPr>
              <w:t>Orlitzky</w:t>
            </w:r>
            <w:proofErr w:type="spellEnd"/>
          </w:p>
        </w:tc>
      </w:tr>
      <w:tr w:rsidR="00D432BD" w:rsidRPr="00326CE5" w:rsidTr="00BB6D31">
        <w:tc>
          <w:tcPr>
            <w:tcW w:w="2376" w:type="dxa"/>
          </w:tcPr>
          <w:p w:rsidR="00D432BD" w:rsidRDefault="001972CF" w:rsidP="008C03B1">
            <w:pPr>
              <w:rPr>
                <w:lang w:val="en-US"/>
              </w:rPr>
            </w:pPr>
            <w:r>
              <w:rPr>
                <w:noProof/>
                <w:lang w:eastAsia="pl-PL"/>
              </w:rPr>
              <w:drawing>
                <wp:inline distT="0" distB="0" distL="0" distR="0" wp14:anchorId="31F01BC3" wp14:editId="6365E473">
                  <wp:extent cx="1371600" cy="135859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rlitzky_picnew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58598"/>
                          </a:xfrm>
                          <a:prstGeom prst="rect">
                            <a:avLst/>
                          </a:prstGeom>
                        </pic:spPr>
                      </pic:pic>
                    </a:graphicData>
                  </a:graphic>
                </wp:inline>
              </w:drawing>
            </w:r>
          </w:p>
        </w:tc>
        <w:tc>
          <w:tcPr>
            <w:tcW w:w="6912" w:type="dxa"/>
          </w:tcPr>
          <w:p w:rsidR="00D432BD" w:rsidRPr="001972CF" w:rsidRDefault="00D432BD" w:rsidP="001972CF">
            <w:pPr>
              <w:jc w:val="both"/>
              <w:rPr>
                <w:rFonts w:cstheme="minorHAnsi"/>
                <w:sz w:val="20"/>
                <w:szCs w:val="20"/>
                <w:lang w:val="en-US"/>
              </w:rPr>
            </w:pPr>
            <w:r w:rsidRPr="001972CF">
              <w:rPr>
                <w:rFonts w:cstheme="minorHAnsi"/>
                <w:sz w:val="20"/>
                <w:szCs w:val="20"/>
                <w:lang w:val="en-US"/>
              </w:rPr>
              <w:t xml:space="preserve">Professor Marc </w:t>
            </w:r>
            <w:proofErr w:type="spellStart"/>
            <w:r w:rsidRPr="001972CF">
              <w:rPr>
                <w:rFonts w:cstheme="minorHAnsi"/>
                <w:sz w:val="20"/>
                <w:szCs w:val="20"/>
                <w:lang w:val="en-US"/>
              </w:rPr>
              <w:t>Orlitzky</w:t>
            </w:r>
            <w:proofErr w:type="spellEnd"/>
            <w:r w:rsidRPr="001972CF">
              <w:rPr>
                <w:rFonts w:cstheme="minorHAnsi"/>
                <w:sz w:val="20"/>
                <w:szCs w:val="20"/>
                <w:lang w:val="en-US"/>
              </w:rPr>
              <w:t xml:space="preserve"> (Ph.D., University of Iowa) is Chair in Management (full professor) at the University of South Australia Business School.  The </w:t>
            </w:r>
            <w:proofErr w:type="spellStart"/>
            <w:r w:rsidRPr="001972CF">
              <w:rPr>
                <w:rFonts w:cstheme="minorHAnsi"/>
                <w:sz w:val="20"/>
                <w:szCs w:val="20"/>
                <w:lang w:val="en-US"/>
              </w:rPr>
              <w:t>Orlitzky</w:t>
            </w:r>
            <w:proofErr w:type="spellEnd"/>
            <w:r w:rsidRPr="001972CF">
              <w:rPr>
                <w:rFonts w:cstheme="minorHAnsi"/>
                <w:sz w:val="20"/>
                <w:szCs w:val="20"/>
                <w:lang w:val="en-US"/>
              </w:rPr>
              <w:t xml:space="preserve">, Schmidt, and </w:t>
            </w:r>
            <w:proofErr w:type="spellStart"/>
            <w:r w:rsidRPr="001972CF">
              <w:rPr>
                <w:rFonts w:cstheme="minorHAnsi"/>
                <w:sz w:val="20"/>
                <w:szCs w:val="20"/>
                <w:lang w:val="en-US"/>
              </w:rPr>
              <w:t>Rynes</w:t>
            </w:r>
            <w:proofErr w:type="spellEnd"/>
            <w:r w:rsidRPr="001972CF">
              <w:rPr>
                <w:rFonts w:cstheme="minorHAnsi"/>
                <w:sz w:val="20"/>
                <w:szCs w:val="20"/>
                <w:lang w:val="en-US"/>
              </w:rPr>
              <w:t xml:space="preserve"> (2003) meta-analysis has become the most highly cited article ever published in the journal </w:t>
            </w:r>
            <w:r w:rsidRPr="001972CF">
              <w:rPr>
                <w:rFonts w:cstheme="minorHAnsi"/>
                <w:i/>
                <w:sz w:val="20"/>
                <w:szCs w:val="20"/>
                <w:lang w:val="en-US"/>
              </w:rPr>
              <w:t>Organization Studies</w:t>
            </w:r>
            <w:r w:rsidRPr="001972CF">
              <w:rPr>
                <w:rFonts w:cstheme="minorHAnsi"/>
                <w:sz w:val="20"/>
                <w:szCs w:val="20"/>
                <w:lang w:val="en-US"/>
              </w:rPr>
              <w:t xml:space="preserve">, garnering more than double the citations of the second-most highly cited article in this EGOS journal.  More specifically, as of January 2019, this article was cited 2,173 times on the </w:t>
            </w:r>
            <w:r w:rsidRPr="001972CF">
              <w:rPr>
                <w:rFonts w:cstheme="minorHAnsi"/>
                <w:i/>
                <w:sz w:val="20"/>
                <w:szCs w:val="20"/>
                <w:lang w:val="en-US"/>
              </w:rPr>
              <w:t>Web of Science</w:t>
            </w:r>
            <w:r w:rsidRPr="001972CF">
              <w:rPr>
                <w:rFonts w:cstheme="minorHAnsi"/>
                <w:sz w:val="20"/>
                <w:szCs w:val="20"/>
                <w:lang w:val="en-US"/>
              </w:rPr>
              <w:t xml:space="preserve">, while the most cited articles of 2003 published in </w:t>
            </w:r>
            <w:r w:rsidRPr="001972CF">
              <w:rPr>
                <w:rFonts w:cstheme="minorHAnsi"/>
                <w:i/>
                <w:sz w:val="20"/>
                <w:szCs w:val="20"/>
                <w:lang w:val="en-US"/>
              </w:rPr>
              <w:t>Academy of Management Journal (AMJ)</w:t>
            </w:r>
            <w:r w:rsidRPr="001972CF">
              <w:rPr>
                <w:rFonts w:cstheme="minorHAnsi"/>
                <w:sz w:val="20"/>
                <w:szCs w:val="20"/>
                <w:lang w:val="en-US"/>
              </w:rPr>
              <w:t xml:space="preserve"> and </w:t>
            </w:r>
            <w:r w:rsidRPr="001972CF">
              <w:rPr>
                <w:rFonts w:cstheme="minorHAnsi"/>
                <w:i/>
                <w:sz w:val="20"/>
                <w:szCs w:val="20"/>
                <w:lang w:val="en-US"/>
              </w:rPr>
              <w:t>Academy of Management Review</w:t>
            </w:r>
            <w:r w:rsidRPr="001972CF">
              <w:rPr>
                <w:rFonts w:cstheme="minorHAnsi"/>
                <w:sz w:val="20"/>
                <w:szCs w:val="20"/>
                <w:lang w:val="en-US"/>
              </w:rPr>
              <w:t xml:space="preserve"> received 689 and 1,393 citations, respectively.  Only one </w:t>
            </w:r>
            <w:r w:rsidRPr="001972CF">
              <w:rPr>
                <w:rFonts w:cstheme="minorHAnsi"/>
                <w:i/>
                <w:sz w:val="20"/>
                <w:szCs w:val="20"/>
                <w:lang w:val="en-US"/>
              </w:rPr>
              <w:t>AMJ</w:t>
            </w:r>
            <w:r w:rsidRPr="001972CF">
              <w:rPr>
                <w:rFonts w:cstheme="minorHAnsi"/>
                <w:sz w:val="20"/>
                <w:szCs w:val="20"/>
                <w:lang w:val="en-US"/>
              </w:rPr>
              <w:t xml:space="preserve"> article published since 2000 (</w:t>
            </w:r>
            <w:proofErr w:type="spellStart"/>
            <w:r w:rsidRPr="001972CF">
              <w:rPr>
                <w:rFonts w:cstheme="minorHAnsi"/>
                <w:sz w:val="20"/>
                <w:szCs w:val="20"/>
                <w:lang w:val="en-US"/>
              </w:rPr>
              <w:t>Eisenhardt</w:t>
            </w:r>
            <w:proofErr w:type="spellEnd"/>
            <w:r w:rsidRPr="001972CF">
              <w:rPr>
                <w:rFonts w:cstheme="minorHAnsi"/>
                <w:sz w:val="20"/>
                <w:szCs w:val="20"/>
                <w:lang w:val="en-US"/>
              </w:rPr>
              <w:t xml:space="preserve"> &amp; </w:t>
            </w:r>
            <w:proofErr w:type="spellStart"/>
            <w:r w:rsidRPr="001972CF">
              <w:rPr>
                <w:rFonts w:cstheme="minorHAnsi"/>
                <w:sz w:val="20"/>
                <w:szCs w:val="20"/>
                <w:lang w:val="en-US"/>
              </w:rPr>
              <w:t>Graebner</w:t>
            </w:r>
            <w:proofErr w:type="spellEnd"/>
            <w:r w:rsidRPr="001972CF">
              <w:rPr>
                <w:rFonts w:cstheme="minorHAnsi"/>
                <w:sz w:val="20"/>
                <w:szCs w:val="20"/>
                <w:lang w:val="en-US"/>
              </w:rPr>
              <w:t xml:space="preserve">, 2007) received more citations than this meta-analysis.  Overall, Marc's research has been cited over 10,000 times on </w:t>
            </w:r>
            <w:r w:rsidRPr="001972CF">
              <w:rPr>
                <w:rFonts w:cstheme="minorHAnsi"/>
                <w:i/>
                <w:sz w:val="20"/>
                <w:szCs w:val="20"/>
                <w:lang w:val="en-US"/>
              </w:rPr>
              <w:t>Google Scholar</w:t>
            </w:r>
            <w:r w:rsidRPr="001972CF">
              <w:rPr>
                <w:rFonts w:cstheme="minorHAnsi"/>
                <w:sz w:val="20"/>
                <w:szCs w:val="20"/>
                <w:lang w:val="en-US"/>
              </w:rPr>
              <w:t>.</w:t>
            </w:r>
          </w:p>
          <w:p w:rsidR="00D432BD" w:rsidRPr="001972CF" w:rsidRDefault="00D432BD" w:rsidP="001972CF">
            <w:pPr>
              <w:jc w:val="both"/>
              <w:rPr>
                <w:rFonts w:cstheme="minorHAnsi"/>
                <w:sz w:val="20"/>
                <w:szCs w:val="20"/>
                <w:lang w:val="en-US"/>
              </w:rPr>
            </w:pPr>
          </w:p>
          <w:p w:rsidR="00D432BD" w:rsidRPr="001972CF" w:rsidRDefault="00D432BD" w:rsidP="001972CF">
            <w:pPr>
              <w:jc w:val="both"/>
              <w:rPr>
                <w:rFonts w:cstheme="minorHAnsi"/>
                <w:sz w:val="20"/>
                <w:szCs w:val="20"/>
                <w:lang w:val="en-US"/>
              </w:rPr>
            </w:pPr>
            <w:r w:rsidRPr="001972CF">
              <w:rPr>
                <w:rFonts w:cstheme="minorHAnsi"/>
                <w:sz w:val="20"/>
                <w:szCs w:val="20"/>
                <w:lang w:val="en-US"/>
              </w:rPr>
              <w:t xml:space="preserve">In his doctoral studies, Marc was trained and mentored by one of the developers of psychometric meta-analysis, Frank Schmidt.  His previous academic positions included Lecturer at the University of New South Wales (UNSW in Sydney, Australia), Senior Lecturer above the Bar at the University of Auckland, and tenured Associate Professor at Penn State University, Altoona.  With an L-Index (see </w:t>
            </w:r>
            <w:proofErr w:type="spellStart"/>
            <w:r w:rsidRPr="001972CF">
              <w:rPr>
                <w:rFonts w:cstheme="minorHAnsi"/>
                <w:sz w:val="20"/>
                <w:szCs w:val="20"/>
                <w:lang w:val="en-US"/>
              </w:rPr>
              <w:t>Belikov</w:t>
            </w:r>
            <w:proofErr w:type="spellEnd"/>
            <w:r w:rsidRPr="001972CF">
              <w:rPr>
                <w:rFonts w:cstheme="minorHAnsi"/>
                <w:sz w:val="20"/>
                <w:szCs w:val="20"/>
                <w:lang w:val="en-US"/>
              </w:rPr>
              <w:t xml:space="preserve"> &amp; </w:t>
            </w:r>
            <w:proofErr w:type="spellStart"/>
            <w:r w:rsidRPr="001972CF">
              <w:rPr>
                <w:rFonts w:cstheme="minorHAnsi"/>
                <w:sz w:val="20"/>
                <w:szCs w:val="20"/>
                <w:lang w:val="en-US"/>
              </w:rPr>
              <w:t>Belikov</w:t>
            </w:r>
            <w:proofErr w:type="spellEnd"/>
            <w:r w:rsidRPr="001972CF">
              <w:rPr>
                <w:rFonts w:cstheme="minorHAnsi"/>
                <w:sz w:val="20"/>
                <w:szCs w:val="20"/>
                <w:lang w:val="en-US"/>
              </w:rPr>
              <w:t xml:space="preserve">, 2015) of 7.0, he has published research in, among other journals, </w:t>
            </w:r>
            <w:r w:rsidRPr="001972CF">
              <w:rPr>
                <w:rFonts w:cstheme="minorHAnsi"/>
                <w:i/>
                <w:sz w:val="20"/>
                <w:szCs w:val="20"/>
                <w:lang w:val="en-US"/>
              </w:rPr>
              <w:t xml:space="preserve">Organizational Research Methods, Business Ethics Quarterly, Academy of Management Perspectives, Journal of Business Ethics, Long Range Planning, Organization Studies, Academy of Management Learning &amp; Education (AMLE), </w:t>
            </w:r>
            <w:r w:rsidRPr="001972CF">
              <w:rPr>
                <w:rFonts w:cstheme="minorHAnsi"/>
                <w:sz w:val="20"/>
                <w:szCs w:val="20"/>
                <w:lang w:val="en-US"/>
              </w:rPr>
              <w:t xml:space="preserve">and </w:t>
            </w:r>
            <w:r w:rsidRPr="001972CF">
              <w:rPr>
                <w:rFonts w:cstheme="minorHAnsi"/>
                <w:i/>
                <w:sz w:val="20"/>
                <w:szCs w:val="20"/>
                <w:lang w:val="en-US"/>
              </w:rPr>
              <w:t>Personnel Psychology</w:t>
            </w:r>
            <w:r w:rsidRPr="001972CF">
              <w:rPr>
                <w:rFonts w:cstheme="minorHAnsi"/>
                <w:sz w:val="20"/>
                <w:szCs w:val="20"/>
                <w:lang w:val="en-US"/>
              </w:rPr>
              <w:t xml:space="preserve">.  His research has received several awards, including the 2004 Moskowitz award for outstanding quantitative study in the field of social investing and the 2001 Best Article Prize awarded by the International Association for Business &amp; Society (IABS) in association with California Management Review, and, most recently (in Nov. 2018), a Research Excellence Award from the University of South Australia.  </w:t>
            </w:r>
          </w:p>
          <w:p w:rsidR="00D432BD" w:rsidRPr="001972CF" w:rsidRDefault="00D432BD" w:rsidP="001972CF">
            <w:pPr>
              <w:jc w:val="both"/>
              <w:rPr>
                <w:lang w:val="en-US"/>
              </w:rPr>
            </w:pPr>
            <w:r w:rsidRPr="001972CF">
              <w:rPr>
                <w:rFonts w:cstheme="minorHAnsi"/>
                <w:sz w:val="20"/>
                <w:szCs w:val="20"/>
                <w:lang w:val="en-US"/>
              </w:rPr>
              <w:t>Marc's current research interests focus on the biological explanations of organizational behavior and issues in the philosophy of science.  With respect to the former, his studies examine how variables of central importance in evolutionary psychology (e.g., life history strategies and the physical environment) affect employee and entrepreneurial preferences, intentions, and outcomes—and how these influences are moderated by biological sex.  As for the latter, he investigates how particular paradigmatic assumptions (influencing not only research methods but also theory) may impede the scientific search for truth.  In addition, he continues to work on team projects that investigate the impact of corporate social responsibility and environmental sustainability on workplace outcomes and financial performance.</w:t>
            </w:r>
            <w:r w:rsidRPr="00D432BD">
              <w:rPr>
                <w:lang w:val="en-US"/>
              </w:rPr>
              <w:t xml:space="preserve"> </w:t>
            </w:r>
          </w:p>
        </w:tc>
      </w:tr>
    </w:tbl>
    <w:p w:rsidR="00C83306" w:rsidRDefault="00C83306">
      <w:pPr>
        <w:rPr>
          <w:lang w:val="en-US"/>
        </w:rPr>
      </w:pPr>
    </w:p>
    <w:p w:rsidR="00C83306" w:rsidRDefault="00C83306">
      <w:pPr>
        <w:rPr>
          <w:lang w:val="en-US"/>
        </w:rPr>
      </w:pPr>
      <w:r>
        <w:rPr>
          <w:lang w:val="en-US"/>
        </w:rPr>
        <w:br w:type="page"/>
      </w:r>
    </w:p>
    <w:tbl>
      <w:tblPr>
        <w:tblStyle w:val="Tabela-Siatka"/>
        <w:tblW w:w="0" w:type="auto"/>
        <w:tblLook w:val="04A0" w:firstRow="1" w:lastRow="0" w:firstColumn="1" w:lastColumn="0" w:noHBand="0" w:noVBand="1"/>
      </w:tblPr>
      <w:tblGrid>
        <w:gridCol w:w="2376"/>
        <w:gridCol w:w="6912"/>
      </w:tblGrid>
      <w:tr w:rsidR="001972CF" w:rsidTr="008C03B1">
        <w:tc>
          <w:tcPr>
            <w:tcW w:w="9288" w:type="dxa"/>
            <w:gridSpan w:val="2"/>
          </w:tcPr>
          <w:p w:rsidR="001972CF" w:rsidRPr="001972CF" w:rsidRDefault="001972CF" w:rsidP="008C03B1">
            <w:pPr>
              <w:rPr>
                <w:b/>
                <w:lang w:val="en-US"/>
              </w:rPr>
            </w:pPr>
            <w:proofErr w:type="spellStart"/>
            <w:r w:rsidRPr="001972CF">
              <w:rPr>
                <w:b/>
                <w:lang w:val="en-GB"/>
              </w:rPr>
              <w:lastRenderedPageBreak/>
              <w:t>Tuomo</w:t>
            </w:r>
            <w:proofErr w:type="spellEnd"/>
            <w:r w:rsidRPr="001972CF">
              <w:rPr>
                <w:b/>
                <w:lang w:val="en-GB"/>
              </w:rPr>
              <w:t xml:space="preserve"> </w:t>
            </w:r>
            <w:proofErr w:type="spellStart"/>
            <w:r w:rsidRPr="001972CF">
              <w:rPr>
                <w:b/>
                <w:lang w:val="en-GB"/>
              </w:rPr>
              <w:t>Peltonen</w:t>
            </w:r>
            <w:proofErr w:type="spellEnd"/>
          </w:p>
        </w:tc>
      </w:tr>
      <w:tr w:rsidR="001972CF" w:rsidRPr="00326CE5" w:rsidTr="00BB6D31">
        <w:tc>
          <w:tcPr>
            <w:tcW w:w="2376" w:type="dxa"/>
          </w:tcPr>
          <w:p w:rsidR="001972CF" w:rsidRDefault="001972CF" w:rsidP="008C03B1">
            <w:pPr>
              <w:rPr>
                <w:lang w:val="en-US"/>
              </w:rPr>
            </w:pPr>
            <w:r>
              <w:rPr>
                <w:noProof/>
                <w:lang w:eastAsia="pl-PL"/>
              </w:rPr>
              <w:drawing>
                <wp:inline distT="0" distB="0" distL="0" distR="0" wp14:anchorId="164DB069" wp14:editId="3D7556A1">
                  <wp:extent cx="1348740" cy="1348740"/>
                  <wp:effectExtent l="0" t="0" r="381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peltonen1.jpg"/>
                          <pic:cNvPicPr/>
                        </pic:nvPicPr>
                        <pic:blipFill>
                          <a:blip r:embed="rId9">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inline>
              </w:drawing>
            </w:r>
          </w:p>
        </w:tc>
        <w:tc>
          <w:tcPr>
            <w:tcW w:w="6912" w:type="dxa"/>
          </w:tcPr>
          <w:p w:rsidR="001972CF" w:rsidRPr="001972CF" w:rsidRDefault="001972CF" w:rsidP="008C03B1">
            <w:pPr>
              <w:jc w:val="both"/>
              <w:rPr>
                <w:lang w:val="en-US"/>
              </w:rPr>
            </w:pPr>
            <w:proofErr w:type="spellStart"/>
            <w:r w:rsidRPr="007969DC">
              <w:rPr>
                <w:lang w:val="en-GB"/>
              </w:rPr>
              <w:t>Tuomo</w:t>
            </w:r>
            <w:proofErr w:type="spellEnd"/>
            <w:r w:rsidRPr="007969DC">
              <w:rPr>
                <w:lang w:val="en-GB"/>
              </w:rPr>
              <w:t xml:space="preserve"> </w:t>
            </w:r>
            <w:proofErr w:type="spellStart"/>
            <w:r w:rsidRPr="007969DC">
              <w:rPr>
                <w:lang w:val="en-GB"/>
              </w:rPr>
              <w:t>Peltonen</w:t>
            </w:r>
            <w:proofErr w:type="spellEnd"/>
            <w:r w:rsidRPr="007969DC">
              <w:rPr>
                <w:lang w:val="en-GB"/>
              </w:rPr>
              <w:t xml:space="preserve"> received his PhD from Aalto University School of Business (formerly Helsinki School of Economics) in 1998. Since then, he has been a visiting schol</w:t>
            </w:r>
            <w:r>
              <w:rPr>
                <w:lang w:val="en-GB"/>
              </w:rPr>
              <w:t xml:space="preserve">ar at </w:t>
            </w:r>
            <w:proofErr w:type="spellStart"/>
            <w:r>
              <w:rPr>
                <w:lang w:val="en-GB"/>
              </w:rPr>
              <w:t>Keele</w:t>
            </w:r>
            <w:proofErr w:type="spellEnd"/>
            <w:r>
              <w:rPr>
                <w:lang w:val="en-GB"/>
              </w:rPr>
              <w:t xml:space="preserve"> University, UK, and, later, </w:t>
            </w:r>
            <w:r w:rsidRPr="007969DC">
              <w:rPr>
                <w:lang w:val="en-GB"/>
              </w:rPr>
              <w:t xml:space="preserve">professor at four Finnish universities. </w:t>
            </w:r>
            <w:proofErr w:type="spellStart"/>
            <w:r w:rsidRPr="007969DC">
              <w:rPr>
                <w:lang w:val="en-GB"/>
              </w:rPr>
              <w:t>Tuomo</w:t>
            </w:r>
            <w:proofErr w:type="spellEnd"/>
            <w:r w:rsidRPr="007969DC">
              <w:rPr>
                <w:lang w:val="en-GB"/>
              </w:rPr>
              <w:t xml:space="preserve"> is currently professor of organization and management at </w:t>
            </w:r>
            <w:proofErr w:type="spellStart"/>
            <w:r w:rsidRPr="007969DC">
              <w:rPr>
                <w:lang w:val="en-GB"/>
              </w:rPr>
              <w:t>Åbo</w:t>
            </w:r>
            <w:proofErr w:type="spellEnd"/>
            <w:r w:rsidRPr="007969DC">
              <w:rPr>
                <w:lang w:val="en-GB"/>
              </w:rPr>
              <w:t xml:space="preserve"> </w:t>
            </w:r>
            <w:proofErr w:type="spellStart"/>
            <w:r w:rsidRPr="007969DC">
              <w:rPr>
                <w:lang w:val="en-GB"/>
              </w:rPr>
              <w:t>Akademi</w:t>
            </w:r>
            <w:proofErr w:type="spellEnd"/>
            <w:r w:rsidRPr="007969DC">
              <w:rPr>
                <w:lang w:val="en-GB"/>
              </w:rPr>
              <w:t xml:space="preserve"> University, Turku, Finland. </w:t>
            </w:r>
            <w:r>
              <w:rPr>
                <w:lang w:val="en-GB"/>
              </w:rPr>
              <w:t xml:space="preserve">In addition to that, he holds a docent appointment at Aalto University. </w:t>
            </w:r>
            <w:r w:rsidRPr="007969DC">
              <w:rPr>
                <w:lang w:val="en-GB"/>
              </w:rPr>
              <w:t xml:space="preserve">His early research dealt with internationalization and managerial career identities. </w:t>
            </w:r>
            <w:r>
              <w:rPr>
                <w:lang w:val="en-GB"/>
              </w:rPr>
              <w:t>More recently, he has published</w:t>
            </w:r>
            <w:r w:rsidRPr="007969DC">
              <w:rPr>
                <w:lang w:val="en-GB"/>
              </w:rPr>
              <w:t xml:space="preserve"> on business ethics, organizational knowledge, </w:t>
            </w:r>
            <w:r>
              <w:rPr>
                <w:lang w:val="en-GB"/>
              </w:rPr>
              <w:t xml:space="preserve">international management, </w:t>
            </w:r>
            <w:r w:rsidRPr="007969DC">
              <w:rPr>
                <w:lang w:val="en-GB"/>
              </w:rPr>
              <w:t xml:space="preserve">research methods, </w:t>
            </w:r>
            <w:r>
              <w:rPr>
                <w:lang w:val="en-GB"/>
              </w:rPr>
              <w:t xml:space="preserve">and </w:t>
            </w:r>
            <w:r w:rsidRPr="007969DC">
              <w:rPr>
                <w:lang w:val="en-GB"/>
              </w:rPr>
              <w:t xml:space="preserve">architecture and spatiality, often from a poststructuralist or interpretative </w:t>
            </w:r>
            <w:r>
              <w:rPr>
                <w:lang w:val="en-GB"/>
              </w:rPr>
              <w:t xml:space="preserve">conceptual and/or methodological </w:t>
            </w:r>
            <w:r w:rsidRPr="007969DC">
              <w:rPr>
                <w:lang w:val="en-GB"/>
              </w:rPr>
              <w:t xml:space="preserve">perspective. </w:t>
            </w:r>
            <w:r>
              <w:rPr>
                <w:lang w:val="en-GB"/>
              </w:rPr>
              <w:t xml:space="preserve">He has had a special interest on the implications of the work of Michel Foucault, as well as on the debates surrounding the use of Actor-Network Theory in management studies. </w:t>
            </w:r>
            <w:proofErr w:type="spellStart"/>
            <w:r w:rsidRPr="007969DC">
              <w:rPr>
                <w:lang w:val="en-GB"/>
              </w:rPr>
              <w:t>Tuomo’s</w:t>
            </w:r>
            <w:proofErr w:type="spellEnd"/>
            <w:r w:rsidRPr="007969DC">
              <w:rPr>
                <w:lang w:val="en-GB"/>
              </w:rPr>
              <w:t xml:space="preserve"> </w:t>
            </w:r>
            <w:r>
              <w:rPr>
                <w:lang w:val="en-GB"/>
              </w:rPr>
              <w:t>current research interests have signalled a shift towards classical philosophical problems regarding truth, morality and good governance. These themes are discussed in his works on</w:t>
            </w:r>
            <w:r w:rsidRPr="007969DC">
              <w:rPr>
                <w:lang w:val="en-GB"/>
              </w:rPr>
              <w:t xml:space="preserve"> history and philosophy of organization theory, spirituality and religion in organizations, and </w:t>
            </w:r>
            <w:r>
              <w:rPr>
                <w:lang w:val="en-GB"/>
              </w:rPr>
              <w:t xml:space="preserve">the possibilities for </w:t>
            </w:r>
            <w:r w:rsidRPr="007969DC">
              <w:rPr>
                <w:lang w:val="en-GB"/>
              </w:rPr>
              <w:t xml:space="preserve">wisdom in </w:t>
            </w:r>
            <w:r>
              <w:rPr>
                <w:lang w:val="en-GB"/>
              </w:rPr>
              <w:t xml:space="preserve">strategic </w:t>
            </w:r>
            <w:r w:rsidRPr="007969DC">
              <w:rPr>
                <w:lang w:val="en-GB"/>
              </w:rPr>
              <w:t xml:space="preserve">decision-making. </w:t>
            </w:r>
            <w:r>
              <w:rPr>
                <w:lang w:val="en-GB"/>
              </w:rPr>
              <w:t>H</w:t>
            </w:r>
            <w:r w:rsidRPr="007969DC">
              <w:rPr>
                <w:lang w:val="en-GB"/>
              </w:rPr>
              <w:t xml:space="preserve">e is an Editorial Board member of </w:t>
            </w:r>
            <w:r w:rsidRPr="007969DC">
              <w:rPr>
                <w:i/>
                <w:lang w:val="en-GB"/>
              </w:rPr>
              <w:t xml:space="preserve">Organization Management Journal </w:t>
            </w:r>
            <w:r w:rsidRPr="007969DC">
              <w:rPr>
                <w:lang w:val="en-GB"/>
              </w:rPr>
              <w:t>and</w:t>
            </w:r>
            <w:r w:rsidRPr="007969DC">
              <w:rPr>
                <w:i/>
                <w:lang w:val="en-GB"/>
              </w:rPr>
              <w:t xml:space="preserve"> International Journal of HRM</w:t>
            </w:r>
            <w:r>
              <w:rPr>
                <w:lang w:val="en-GB"/>
              </w:rPr>
              <w:t xml:space="preserve">. During his academic career, </w:t>
            </w:r>
            <w:proofErr w:type="spellStart"/>
            <w:r>
              <w:rPr>
                <w:lang w:val="en-GB"/>
              </w:rPr>
              <w:t>Tuomo</w:t>
            </w:r>
            <w:proofErr w:type="spellEnd"/>
            <w:r w:rsidRPr="007969DC">
              <w:rPr>
                <w:lang w:val="en-GB"/>
              </w:rPr>
              <w:t xml:space="preserve"> has published about</w:t>
            </w:r>
            <w:r>
              <w:rPr>
                <w:lang w:val="en-GB"/>
              </w:rPr>
              <w:t xml:space="preserve"> 35</w:t>
            </w:r>
            <w:r w:rsidRPr="007969DC">
              <w:rPr>
                <w:lang w:val="en-GB"/>
              </w:rPr>
              <w:t xml:space="preserve"> </w:t>
            </w:r>
            <w:r>
              <w:rPr>
                <w:lang w:val="en-GB"/>
              </w:rPr>
              <w:t xml:space="preserve">refereed </w:t>
            </w:r>
            <w:r w:rsidRPr="007969DC">
              <w:rPr>
                <w:lang w:val="en-GB"/>
              </w:rPr>
              <w:t>article</w:t>
            </w:r>
            <w:r>
              <w:rPr>
                <w:lang w:val="en-GB"/>
              </w:rPr>
              <w:t>s and book chapters, and three international monographs.</w:t>
            </w:r>
            <w:r w:rsidRPr="007969DC">
              <w:rPr>
                <w:lang w:val="en-GB"/>
              </w:rPr>
              <w:t xml:space="preserve"> Recent books include:</w:t>
            </w:r>
            <w:r w:rsidRPr="001972CF">
              <w:rPr>
                <w:i/>
                <w:lang w:val="en-US"/>
              </w:rPr>
              <w:t xml:space="preserve"> Towards Wise Management (Palgrave), Spirituality and Religion in Organizing</w:t>
            </w:r>
            <w:r w:rsidRPr="001972CF">
              <w:rPr>
                <w:lang w:val="en-US"/>
              </w:rPr>
              <w:t xml:space="preserve"> (Palgrave), </w:t>
            </w:r>
            <w:r w:rsidRPr="001972CF">
              <w:rPr>
                <w:i/>
                <w:lang w:val="en-US"/>
              </w:rPr>
              <w:t>Organization theory</w:t>
            </w:r>
            <w:r w:rsidRPr="001972CF">
              <w:rPr>
                <w:lang w:val="en-US"/>
              </w:rPr>
              <w:t xml:space="preserve"> (Emerald), and </w:t>
            </w:r>
            <w:r w:rsidRPr="001972CF">
              <w:rPr>
                <w:i/>
                <w:lang w:val="en-US"/>
              </w:rPr>
              <w:t>Origins of Organizing</w:t>
            </w:r>
            <w:r w:rsidRPr="001972CF">
              <w:rPr>
                <w:lang w:val="en-US"/>
              </w:rPr>
              <w:t xml:space="preserve"> (</w:t>
            </w:r>
            <w:proofErr w:type="spellStart"/>
            <w:r w:rsidRPr="001972CF">
              <w:rPr>
                <w:lang w:val="en-US"/>
              </w:rPr>
              <w:t>Peltonen</w:t>
            </w:r>
            <w:proofErr w:type="spellEnd"/>
            <w:r w:rsidRPr="001972CF">
              <w:rPr>
                <w:lang w:val="en-US"/>
              </w:rPr>
              <w:t xml:space="preserve">, T., </w:t>
            </w:r>
            <w:proofErr w:type="spellStart"/>
            <w:r w:rsidRPr="001972CF">
              <w:rPr>
                <w:lang w:val="en-US"/>
              </w:rPr>
              <w:t>Gaggiotti</w:t>
            </w:r>
            <w:proofErr w:type="spellEnd"/>
            <w:r w:rsidRPr="001972CF">
              <w:rPr>
                <w:lang w:val="en-US"/>
              </w:rPr>
              <w:t xml:space="preserve">, H., Case, P., </w:t>
            </w:r>
            <w:proofErr w:type="spellStart"/>
            <w:r w:rsidRPr="001972CF">
              <w:rPr>
                <w:lang w:val="en-US"/>
              </w:rPr>
              <w:t>eds</w:t>
            </w:r>
            <w:proofErr w:type="spellEnd"/>
            <w:r w:rsidRPr="001972CF">
              <w:rPr>
                <w:lang w:val="en-US"/>
              </w:rPr>
              <w:t xml:space="preserve">; </w:t>
            </w:r>
            <w:r w:rsidR="004B0C4A">
              <w:rPr>
                <w:lang w:val="en-US"/>
              </w:rPr>
              <w:t>Edward Elgar).</w:t>
            </w:r>
          </w:p>
        </w:tc>
      </w:tr>
    </w:tbl>
    <w:p w:rsidR="001972CF" w:rsidRDefault="001972CF">
      <w:pPr>
        <w:rPr>
          <w:lang w:val="en-US"/>
        </w:rPr>
      </w:pPr>
    </w:p>
    <w:sectPr w:rsidR="001972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E5" w:rsidRDefault="00326CE5" w:rsidP="00326CE5">
      <w:pPr>
        <w:spacing w:after="0" w:line="240" w:lineRule="auto"/>
      </w:pPr>
      <w:r>
        <w:separator/>
      </w:r>
    </w:p>
  </w:endnote>
  <w:endnote w:type="continuationSeparator" w:id="0">
    <w:p w:rsidR="00326CE5" w:rsidRDefault="00326CE5" w:rsidP="0032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35505"/>
      <w:docPartObj>
        <w:docPartGallery w:val="Page Numbers (Bottom of Page)"/>
        <w:docPartUnique/>
      </w:docPartObj>
    </w:sdtPr>
    <w:sdtEndPr/>
    <w:sdtContent>
      <w:p w:rsidR="00326CE5" w:rsidRDefault="00326CE5">
        <w:pPr>
          <w:pStyle w:val="Stopka"/>
          <w:jc w:val="right"/>
        </w:pPr>
        <w:r>
          <w:fldChar w:fldCharType="begin"/>
        </w:r>
        <w:r>
          <w:instrText>PAGE   \* MERGEFORMAT</w:instrText>
        </w:r>
        <w:r>
          <w:fldChar w:fldCharType="separate"/>
        </w:r>
        <w:r w:rsidR="00976826">
          <w:rPr>
            <w:noProof/>
          </w:rPr>
          <w:t>1</w:t>
        </w:r>
        <w:r>
          <w:fldChar w:fldCharType="end"/>
        </w:r>
      </w:p>
    </w:sdtContent>
  </w:sdt>
  <w:p w:rsidR="00326CE5" w:rsidRDefault="00326C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E5" w:rsidRDefault="00326CE5" w:rsidP="00326CE5">
      <w:pPr>
        <w:spacing w:after="0" w:line="240" w:lineRule="auto"/>
      </w:pPr>
      <w:r>
        <w:separator/>
      </w:r>
    </w:p>
  </w:footnote>
  <w:footnote w:type="continuationSeparator" w:id="0">
    <w:p w:rsidR="00326CE5" w:rsidRDefault="00326CE5" w:rsidP="00326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tTS2MDGzNDYyMDRS0lEKTi0uzszPAykwrQUAkXtKniwAAAA="/>
  </w:docVars>
  <w:rsids>
    <w:rsidRoot w:val="00086A60"/>
    <w:rsid w:val="00082E77"/>
    <w:rsid w:val="00086A60"/>
    <w:rsid w:val="000B6DAC"/>
    <w:rsid w:val="001972CF"/>
    <w:rsid w:val="002C2A37"/>
    <w:rsid w:val="002D14DE"/>
    <w:rsid w:val="00326CE5"/>
    <w:rsid w:val="003E0747"/>
    <w:rsid w:val="0049213E"/>
    <w:rsid w:val="004B0C4A"/>
    <w:rsid w:val="004E1BDC"/>
    <w:rsid w:val="00532D0B"/>
    <w:rsid w:val="006B5646"/>
    <w:rsid w:val="00963B92"/>
    <w:rsid w:val="00974C09"/>
    <w:rsid w:val="00976826"/>
    <w:rsid w:val="00983919"/>
    <w:rsid w:val="009C756D"/>
    <w:rsid w:val="009F27E8"/>
    <w:rsid w:val="009F3EDC"/>
    <w:rsid w:val="00A81E54"/>
    <w:rsid w:val="00BB6D31"/>
    <w:rsid w:val="00C83306"/>
    <w:rsid w:val="00D15120"/>
    <w:rsid w:val="00D432BD"/>
    <w:rsid w:val="00E83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32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2BD"/>
    <w:rPr>
      <w:rFonts w:ascii="Tahoma" w:hAnsi="Tahoma" w:cs="Tahoma"/>
      <w:sz w:val="16"/>
      <w:szCs w:val="16"/>
    </w:rPr>
  </w:style>
  <w:style w:type="paragraph" w:styleId="Nagwek">
    <w:name w:val="header"/>
    <w:basedOn w:val="Normalny"/>
    <w:link w:val="NagwekZnak"/>
    <w:uiPriority w:val="99"/>
    <w:unhideWhenUsed/>
    <w:rsid w:val="00326C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CE5"/>
  </w:style>
  <w:style w:type="paragraph" w:styleId="Stopka">
    <w:name w:val="footer"/>
    <w:basedOn w:val="Normalny"/>
    <w:link w:val="StopkaZnak"/>
    <w:uiPriority w:val="99"/>
    <w:unhideWhenUsed/>
    <w:rsid w:val="00326C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32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2BD"/>
    <w:rPr>
      <w:rFonts w:ascii="Tahoma" w:hAnsi="Tahoma" w:cs="Tahoma"/>
      <w:sz w:val="16"/>
      <w:szCs w:val="16"/>
    </w:rPr>
  </w:style>
  <w:style w:type="paragraph" w:styleId="Nagwek">
    <w:name w:val="header"/>
    <w:basedOn w:val="Normalny"/>
    <w:link w:val="NagwekZnak"/>
    <w:uiPriority w:val="99"/>
    <w:unhideWhenUsed/>
    <w:rsid w:val="00326C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CE5"/>
  </w:style>
  <w:style w:type="paragraph" w:styleId="Stopka">
    <w:name w:val="footer"/>
    <w:basedOn w:val="Normalny"/>
    <w:link w:val="StopkaZnak"/>
    <w:uiPriority w:val="99"/>
    <w:unhideWhenUsed/>
    <w:rsid w:val="00326C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6743">
      <w:bodyDiv w:val="1"/>
      <w:marLeft w:val="0"/>
      <w:marRight w:val="0"/>
      <w:marTop w:val="0"/>
      <w:marBottom w:val="0"/>
      <w:divBdr>
        <w:top w:val="none" w:sz="0" w:space="0" w:color="auto"/>
        <w:left w:val="none" w:sz="0" w:space="0" w:color="auto"/>
        <w:bottom w:val="none" w:sz="0" w:space="0" w:color="auto"/>
        <w:right w:val="none" w:sz="0" w:space="0" w:color="auto"/>
      </w:divBdr>
    </w:div>
    <w:div w:id="245695563">
      <w:bodyDiv w:val="1"/>
      <w:marLeft w:val="0"/>
      <w:marRight w:val="0"/>
      <w:marTop w:val="0"/>
      <w:marBottom w:val="0"/>
      <w:divBdr>
        <w:top w:val="none" w:sz="0" w:space="0" w:color="auto"/>
        <w:left w:val="none" w:sz="0" w:space="0" w:color="auto"/>
        <w:bottom w:val="none" w:sz="0" w:space="0" w:color="auto"/>
        <w:right w:val="none" w:sz="0" w:space="0" w:color="auto"/>
      </w:divBdr>
    </w:div>
    <w:div w:id="281227794">
      <w:bodyDiv w:val="1"/>
      <w:marLeft w:val="0"/>
      <w:marRight w:val="0"/>
      <w:marTop w:val="0"/>
      <w:marBottom w:val="0"/>
      <w:divBdr>
        <w:top w:val="none" w:sz="0" w:space="0" w:color="auto"/>
        <w:left w:val="none" w:sz="0" w:space="0" w:color="auto"/>
        <w:bottom w:val="none" w:sz="0" w:space="0" w:color="auto"/>
        <w:right w:val="none" w:sz="0" w:space="0" w:color="auto"/>
      </w:divBdr>
    </w:div>
    <w:div w:id="404886179">
      <w:bodyDiv w:val="1"/>
      <w:marLeft w:val="0"/>
      <w:marRight w:val="0"/>
      <w:marTop w:val="0"/>
      <w:marBottom w:val="0"/>
      <w:divBdr>
        <w:top w:val="none" w:sz="0" w:space="0" w:color="auto"/>
        <w:left w:val="none" w:sz="0" w:space="0" w:color="auto"/>
        <w:bottom w:val="none" w:sz="0" w:space="0" w:color="auto"/>
        <w:right w:val="none" w:sz="0" w:space="0" w:color="auto"/>
      </w:divBdr>
    </w:div>
    <w:div w:id="406079420">
      <w:bodyDiv w:val="1"/>
      <w:marLeft w:val="0"/>
      <w:marRight w:val="0"/>
      <w:marTop w:val="0"/>
      <w:marBottom w:val="0"/>
      <w:divBdr>
        <w:top w:val="none" w:sz="0" w:space="0" w:color="auto"/>
        <w:left w:val="none" w:sz="0" w:space="0" w:color="auto"/>
        <w:bottom w:val="none" w:sz="0" w:space="0" w:color="auto"/>
        <w:right w:val="none" w:sz="0" w:space="0" w:color="auto"/>
      </w:divBdr>
    </w:div>
    <w:div w:id="645664453">
      <w:bodyDiv w:val="1"/>
      <w:marLeft w:val="0"/>
      <w:marRight w:val="0"/>
      <w:marTop w:val="0"/>
      <w:marBottom w:val="0"/>
      <w:divBdr>
        <w:top w:val="none" w:sz="0" w:space="0" w:color="auto"/>
        <w:left w:val="none" w:sz="0" w:space="0" w:color="auto"/>
        <w:bottom w:val="none" w:sz="0" w:space="0" w:color="auto"/>
        <w:right w:val="none" w:sz="0" w:space="0" w:color="auto"/>
      </w:divBdr>
    </w:div>
    <w:div w:id="718822305">
      <w:bodyDiv w:val="1"/>
      <w:marLeft w:val="0"/>
      <w:marRight w:val="0"/>
      <w:marTop w:val="0"/>
      <w:marBottom w:val="0"/>
      <w:divBdr>
        <w:top w:val="none" w:sz="0" w:space="0" w:color="auto"/>
        <w:left w:val="none" w:sz="0" w:space="0" w:color="auto"/>
        <w:bottom w:val="none" w:sz="0" w:space="0" w:color="auto"/>
        <w:right w:val="none" w:sz="0" w:space="0" w:color="auto"/>
      </w:divBdr>
    </w:div>
    <w:div w:id="748230347">
      <w:bodyDiv w:val="1"/>
      <w:marLeft w:val="0"/>
      <w:marRight w:val="0"/>
      <w:marTop w:val="0"/>
      <w:marBottom w:val="0"/>
      <w:divBdr>
        <w:top w:val="none" w:sz="0" w:space="0" w:color="auto"/>
        <w:left w:val="none" w:sz="0" w:space="0" w:color="auto"/>
        <w:bottom w:val="none" w:sz="0" w:space="0" w:color="auto"/>
        <w:right w:val="none" w:sz="0" w:space="0" w:color="auto"/>
      </w:divBdr>
    </w:div>
    <w:div w:id="768743848">
      <w:bodyDiv w:val="1"/>
      <w:marLeft w:val="0"/>
      <w:marRight w:val="0"/>
      <w:marTop w:val="0"/>
      <w:marBottom w:val="0"/>
      <w:divBdr>
        <w:top w:val="none" w:sz="0" w:space="0" w:color="auto"/>
        <w:left w:val="none" w:sz="0" w:space="0" w:color="auto"/>
        <w:bottom w:val="none" w:sz="0" w:space="0" w:color="auto"/>
        <w:right w:val="none" w:sz="0" w:space="0" w:color="auto"/>
      </w:divBdr>
    </w:div>
    <w:div w:id="830828679">
      <w:bodyDiv w:val="1"/>
      <w:marLeft w:val="0"/>
      <w:marRight w:val="0"/>
      <w:marTop w:val="0"/>
      <w:marBottom w:val="0"/>
      <w:divBdr>
        <w:top w:val="none" w:sz="0" w:space="0" w:color="auto"/>
        <w:left w:val="none" w:sz="0" w:space="0" w:color="auto"/>
        <w:bottom w:val="none" w:sz="0" w:space="0" w:color="auto"/>
        <w:right w:val="none" w:sz="0" w:space="0" w:color="auto"/>
      </w:divBdr>
    </w:div>
    <w:div w:id="939025679">
      <w:bodyDiv w:val="1"/>
      <w:marLeft w:val="0"/>
      <w:marRight w:val="0"/>
      <w:marTop w:val="0"/>
      <w:marBottom w:val="0"/>
      <w:divBdr>
        <w:top w:val="none" w:sz="0" w:space="0" w:color="auto"/>
        <w:left w:val="none" w:sz="0" w:space="0" w:color="auto"/>
        <w:bottom w:val="none" w:sz="0" w:space="0" w:color="auto"/>
        <w:right w:val="none" w:sz="0" w:space="0" w:color="auto"/>
      </w:divBdr>
    </w:div>
    <w:div w:id="1194658432">
      <w:bodyDiv w:val="1"/>
      <w:marLeft w:val="0"/>
      <w:marRight w:val="0"/>
      <w:marTop w:val="0"/>
      <w:marBottom w:val="0"/>
      <w:divBdr>
        <w:top w:val="none" w:sz="0" w:space="0" w:color="auto"/>
        <w:left w:val="none" w:sz="0" w:space="0" w:color="auto"/>
        <w:bottom w:val="none" w:sz="0" w:space="0" w:color="auto"/>
        <w:right w:val="none" w:sz="0" w:space="0" w:color="auto"/>
      </w:divBdr>
    </w:div>
    <w:div w:id="1244678525">
      <w:bodyDiv w:val="1"/>
      <w:marLeft w:val="0"/>
      <w:marRight w:val="0"/>
      <w:marTop w:val="0"/>
      <w:marBottom w:val="0"/>
      <w:divBdr>
        <w:top w:val="none" w:sz="0" w:space="0" w:color="auto"/>
        <w:left w:val="none" w:sz="0" w:space="0" w:color="auto"/>
        <w:bottom w:val="none" w:sz="0" w:space="0" w:color="auto"/>
        <w:right w:val="none" w:sz="0" w:space="0" w:color="auto"/>
      </w:divBdr>
    </w:div>
    <w:div w:id="1329751174">
      <w:bodyDiv w:val="1"/>
      <w:marLeft w:val="0"/>
      <w:marRight w:val="0"/>
      <w:marTop w:val="0"/>
      <w:marBottom w:val="0"/>
      <w:divBdr>
        <w:top w:val="none" w:sz="0" w:space="0" w:color="auto"/>
        <w:left w:val="none" w:sz="0" w:space="0" w:color="auto"/>
        <w:bottom w:val="none" w:sz="0" w:space="0" w:color="auto"/>
        <w:right w:val="none" w:sz="0" w:space="0" w:color="auto"/>
      </w:divBdr>
    </w:div>
    <w:div w:id="1421170776">
      <w:bodyDiv w:val="1"/>
      <w:marLeft w:val="0"/>
      <w:marRight w:val="0"/>
      <w:marTop w:val="0"/>
      <w:marBottom w:val="0"/>
      <w:divBdr>
        <w:top w:val="none" w:sz="0" w:space="0" w:color="auto"/>
        <w:left w:val="none" w:sz="0" w:space="0" w:color="auto"/>
        <w:bottom w:val="none" w:sz="0" w:space="0" w:color="auto"/>
        <w:right w:val="none" w:sz="0" w:space="0" w:color="auto"/>
      </w:divBdr>
    </w:div>
    <w:div w:id="1496802731">
      <w:bodyDiv w:val="1"/>
      <w:marLeft w:val="0"/>
      <w:marRight w:val="0"/>
      <w:marTop w:val="0"/>
      <w:marBottom w:val="0"/>
      <w:divBdr>
        <w:top w:val="none" w:sz="0" w:space="0" w:color="auto"/>
        <w:left w:val="none" w:sz="0" w:space="0" w:color="auto"/>
        <w:bottom w:val="none" w:sz="0" w:space="0" w:color="auto"/>
        <w:right w:val="none" w:sz="0" w:space="0" w:color="auto"/>
      </w:divBdr>
    </w:div>
    <w:div w:id="1568875590">
      <w:bodyDiv w:val="1"/>
      <w:marLeft w:val="0"/>
      <w:marRight w:val="0"/>
      <w:marTop w:val="0"/>
      <w:marBottom w:val="0"/>
      <w:divBdr>
        <w:top w:val="none" w:sz="0" w:space="0" w:color="auto"/>
        <w:left w:val="none" w:sz="0" w:space="0" w:color="auto"/>
        <w:bottom w:val="none" w:sz="0" w:space="0" w:color="auto"/>
        <w:right w:val="none" w:sz="0" w:space="0" w:color="auto"/>
      </w:divBdr>
    </w:div>
    <w:div w:id="1637449626">
      <w:bodyDiv w:val="1"/>
      <w:marLeft w:val="0"/>
      <w:marRight w:val="0"/>
      <w:marTop w:val="0"/>
      <w:marBottom w:val="0"/>
      <w:divBdr>
        <w:top w:val="none" w:sz="0" w:space="0" w:color="auto"/>
        <w:left w:val="none" w:sz="0" w:space="0" w:color="auto"/>
        <w:bottom w:val="none" w:sz="0" w:space="0" w:color="auto"/>
        <w:right w:val="none" w:sz="0" w:space="0" w:color="auto"/>
      </w:divBdr>
    </w:div>
    <w:div w:id="1657221590">
      <w:bodyDiv w:val="1"/>
      <w:marLeft w:val="0"/>
      <w:marRight w:val="0"/>
      <w:marTop w:val="0"/>
      <w:marBottom w:val="0"/>
      <w:divBdr>
        <w:top w:val="none" w:sz="0" w:space="0" w:color="auto"/>
        <w:left w:val="none" w:sz="0" w:space="0" w:color="auto"/>
        <w:bottom w:val="none" w:sz="0" w:space="0" w:color="auto"/>
        <w:right w:val="none" w:sz="0" w:space="0" w:color="auto"/>
      </w:divBdr>
    </w:div>
    <w:div w:id="1817406443">
      <w:bodyDiv w:val="1"/>
      <w:marLeft w:val="0"/>
      <w:marRight w:val="0"/>
      <w:marTop w:val="0"/>
      <w:marBottom w:val="0"/>
      <w:divBdr>
        <w:top w:val="none" w:sz="0" w:space="0" w:color="auto"/>
        <w:left w:val="none" w:sz="0" w:space="0" w:color="auto"/>
        <w:bottom w:val="none" w:sz="0" w:space="0" w:color="auto"/>
        <w:right w:val="none" w:sz="0" w:space="0" w:color="auto"/>
      </w:divBdr>
    </w:div>
    <w:div w:id="1920824699">
      <w:bodyDiv w:val="1"/>
      <w:marLeft w:val="0"/>
      <w:marRight w:val="0"/>
      <w:marTop w:val="0"/>
      <w:marBottom w:val="0"/>
      <w:divBdr>
        <w:top w:val="none" w:sz="0" w:space="0" w:color="auto"/>
        <w:left w:val="none" w:sz="0" w:space="0" w:color="auto"/>
        <w:bottom w:val="none" w:sz="0" w:space="0" w:color="auto"/>
        <w:right w:val="none" w:sz="0" w:space="0" w:color="auto"/>
      </w:divBdr>
    </w:div>
    <w:div w:id="2026009883">
      <w:bodyDiv w:val="1"/>
      <w:marLeft w:val="0"/>
      <w:marRight w:val="0"/>
      <w:marTop w:val="0"/>
      <w:marBottom w:val="0"/>
      <w:divBdr>
        <w:top w:val="none" w:sz="0" w:space="0" w:color="auto"/>
        <w:left w:val="none" w:sz="0" w:space="0" w:color="auto"/>
        <w:bottom w:val="none" w:sz="0" w:space="0" w:color="auto"/>
        <w:right w:val="none" w:sz="0" w:space="0" w:color="auto"/>
      </w:divBdr>
    </w:div>
    <w:div w:id="20839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16996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Hensel</dc:creator>
  <cp:lastModifiedBy>Monika Oponowicz</cp:lastModifiedBy>
  <cp:revision>2</cp:revision>
  <dcterms:created xsi:type="dcterms:W3CDTF">2019-03-01T09:23:00Z</dcterms:created>
  <dcterms:modified xsi:type="dcterms:W3CDTF">2019-03-01T09:23:00Z</dcterms:modified>
</cp:coreProperties>
</file>